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920E" w14:textId="36995D5D" w:rsidR="00932A32" w:rsidRPr="00642952" w:rsidRDefault="00E04C30" w:rsidP="00932A32">
      <w:pPr>
        <w:pStyle w:val="Heading1"/>
      </w:pPr>
      <w:bookmarkStart w:id="0" w:name="_Toc223688921"/>
      <w:bookmarkStart w:id="1" w:name="_Toc224553227"/>
      <w:r w:rsidRPr="00642952">
        <w:t>Econo</w:t>
      </w:r>
      <w:permStart w:id="99355911" w:edGrp="everyone"/>
      <w:permEnd w:id="99355911"/>
      <w:r w:rsidRPr="00642952">
        <w:t>mic analysis of the conversion from CO</w:t>
      </w:r>
      <w:r w:rsidRPr="00642952">
        <w:rPr>
          <w:vertAlign w:val="subscript"/>
        </w:rPr>
        <w:t>2</w:t>
      </w:r>
      <w:r w:rsidRPr="00642952">
        <w:t xml:space="preserve"> to an alternative system as a pr</w:t>
      </w:r>
      <w:r w:rsidRPr="00445C46">
        <w:t>im</w:t>
      </w:r>
      <w:r w:rsidRPr="00642952">
        <w:t>ary method of killing pigs within a commercial UK-based pig processing facility</w:t>
      </w:r>
      <w:bookmarkEnd w:id="0"/>
      <w:bookmarkEnd w:id="1"/>
    </w:p>
    <w:p w14:paraId="65790F2C" w14:textId="23A74CD1" w:rsidR="004440EB" w:rsidRPr="00445C46" w:rsidRDefault="00445C46" w:rsidP="004440EB">
      <w:pPr>
        <w:rPr>
          <w:rFonts w:ascii="Ubuntu Light" w:hAnsi="Ubuntu Light"/>
          <w:b/>
          <w:bCs/>
          <w:color w:val="0090D4"/>
        </w:rPr>
      </w:pPr>
      <w:r w:rsidRPr="00445C46">
        <w:rPr>
          <w:rFonts w:ascii="Ubuntu Light" w:hAnsi="Ubuntu Light"/>
          <w:b/>
          <w:bCs/>
          <w:color w:val="0090D4"/>
        </w:rPr>
        <w:t xml:space="preserve">March </w:t>
      </w:r>
      <w:r w:rsidR="00FB1F44" w:rsidRPr="00445C46">
        <w:rPr>
          <w:rFonts w:ascii="Ubuntu Light" w:hAnsi="Ubuntu Light"/>
          <w:b/>
          <w:bCs/>
          <w:color w:val="0090D4"/>
        </w:rPr>
        <w:t>202</w:t>
      </w:r>
      <w:r w:rsidRPr="00445C46">
        <w:rPr>
          <w:rFonts w:ascii="Ubuntu Light" w:hAnsi="Ubuntu Light"/>
          <w:b/>
          <w:bCs/>
          <w:color w:val="0090D4"/>
        </w:rPr>
        <w:t>6</w:t>
      </w:r>
      <w:r w:rsidR="00FB1F44" w:rsidRPr="00445C46">
        <w:rPr>
          <w:rFonts w:ascii="Ubuntu Light" w:hAnsi="Ubuntu Light"/>
          <w:b/>
          <w:bCs/>
          <w:color w:val="0090D4"/>
        </w:rPr>
        <w:t> </w:t>
      </w:r>
    </w:p>
    <w:p w14:paraId="39CCCE75" w14:textId="77777777" w:rsidR="00E542FC" w:rsidRPr="00642952" w:rsidRDefault="00E542FC" w:rsidP="00F9408D">
      <w:pPr>
        <w:pStyle w:val="TOC1"/>
      </w:pPr>
    </w:p>
    <w:p w14:paraId="3CF877A5" w14:textId="77777777" w:rsidR="00E542FC" w:rsidRPr="00642952" w:rsidRDefault="00E542FC" w:rsidP="00F9408D">
      <w:pPr>
        <w:pStyle w:val="TOC1"/>
      </w:pPr>
    </w:p>
    <w:p w14:paraId="564E6573" w14:textId="4C7ADB45" w:rsidR="00E542FC" w:rsidRPr="00642952" w:rsidRDefault="00FB1F44" w:rsidP="00F9408D">
      <w:pPr>
        <w:pStyle w:val="TOC1"/>
      </w:pPr>
      <w:r w:rsidRPr="00642952">
        <w:rPr>
          <w:noProof/>
        </w:rPr>
        <w:drawing>
          <wp:inline distT="0" distB="0" distL="0" distR="0" wp14:anchorId="7B5B9414" wp14:editId="45DE5517">
            <wp:extent cx="3409950" cy="1917700"/>
            <wp:effectExtent l="0" t="0" r="0" b="6350"/>
            <wp:docPr id="1295164234" name="Picture 1" descr="Logo featuring abstract intersecting curved lines in shades of pink and purple above the text &quot;Europe Economics&quot;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64234" name="Picture 1" descr="Logo featuring abstract intersecting curved lines in shades of pink and purple above the text &quot;Europe Economics&quot; in dark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1917700"/>
                    </a:xfrm>
                    <a:prstGeom prst="rect">
                      <a:avLst/>
                    </a:prstGeom>
                    <a:noFill/>
                    <a:ln>
                      <a:noFill/>
                    </a:ln>
                  </pic:spPr>
                </pic:pic>
              </a:graphicData>
            </a:graphic>
          </wp:inline>
        </w:drawing>
      </w:r>
    </w:p>
    <w:p w14:paraId="6D50F5EB" w14:textId="77777777" w:rsidR="00E542FC" w:rsidRPr="00642952" w:rsidRDefault="00E542FC" w:rsidP="00F9408D">
      <w:pPr>
        <w:pStyle w:val="TOC1"/>
      </w:pPr>
    </w:p>
    <w:p w14:paraId="06E0A0FC" w14:textId="77777777" w:rsidR="00E542FC" w:rsidRPr="00642952" w:rsidRDefault="00E542FC" w:rsidP="00F9408D">
      <w:pPr>
        <w:pStyle w:val="TOC1"/>
      </w:pPr>
    </w:p>
    <w:p w14:paraId="17B2A589" w14:textId="77777777" w:rsidR="00E542FC" w:rsidRPr="00642952" w:rsidRDefault="00E542FC" w:rsidP="00F9408D">
      <w:pPr>
        <w:pStyle w:val="TOC1"/>
      </w:pPr>
    </w:p>
    <w:p w14:paraId="7E920378" w14:textId="77777777" w:rsidR="00E542FC" w:rsidRPr="00642952" w:rsidRDefault="00E542FC" w:rsidP="00F9408D">
      <w:pPr>
        <w:pStyle w:val="TOC1"/>
      </w:pPr>
    </w:p>
    <w:p w14:paraId="78F16932" w14:textId="77777777" w:rsidR="00E542FC" w:rsidRPr="00642952" w:rsidRDefault="00E542FC" w:rsidP="00F9408D">
      <w:pPr>
        <w:pStyle w:val="TOC1"/>
      </w:pPr>
    </w:p>
    <w:p w14:paraId="050EAAEE" w14:textId="77777777" w:rsidR="00E542FC" w:rsidRPr="00642952" w:rsidRDefault="00E542FC" w:rsidP="00F9408D">
      <w:pPr>
        <w:pStyle w:val="TOC1"/>
      </w:pPr>
    </w:p>
    <w:p w14:paraId="6B7DE27E" w14:textId="77777777" w:rsidR="00E069DF" w:rsidRPr="00642952" w:rsidRDefault="00E069DF" w:rsidP="00F9408D">
      <w:pPr>
        <w:pStyle w:val="TOC1"/>
      </w:pPr>
    </w:p>
    <w:sdt>
      <w:sdtPr>
        <w:rPr>
          <w:rFonts w:ascii="Arial" w:eastAsia="Times New Roman" w:hAnsi="Arial" w:cs="Arial"/>
          <w:color w:val="5F5F5F"/>
          <w:sz w:val="20"/>
          <w:szCs w:val="20"/>
        </w:rPr>
        <w:id w:val="-164013621"/>
        <w:docPartObj>
          <w:docPartGallery w:val="Table of Contents"/>
          <w:docPartUnique/>
        </w:docPartObj>
      </w:sdtPr>
      <w:sdtEndPr>
        <w:rPr>
          <w:b/>
          <w:bCs/>
          <w:noProof/>
        </w:rPr>
      </w:sdtEndPr>
      <w:sdtContent>
        <w:p w14:paraId="198EA64A" w14:textId="77777777" w:rsidR="00863DD0" w:rsidRDefault="00716D4D" w:rsidP="00716D4D">
          <w:pPr>
            <w:pStyle w:val="TOCHeading"/>
            <w:rPr>
              <w:noProof/>
            </w:rPr>
          </w:pPr>
          <w:r>
            <w:t>Contents</w:t>
          </w:r>
          <w:r>
            <w:fldChar w:fldCharType="begin"/>
          </w:r>
          <w:r>
            <w:instrText xml:space="preserve"> TOC \o "1-3" \h \z \u </w:instrText>
          </w:r>
          <w:r>
            <w:fldChar w:fldCharType="separate"/>
          </w:r>
        </w:p>
        <w:p w14:paraId="398AED97" w14:textId="490F79AB"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28" w:history="1">
            <w:r w:rsidRPr="00FB4A5A">
              <w:rPr>
                <w:rStyle w:val="Hyperlink"/>
                <w:noProof/>
              </w:rPr>
              <w:t>Foreword</w:t>
            </w:r>
            <w:r>
              <w:rPr>
                <w:noProof/>
                <w:webHidden/>
              </w:rPr>
              <w:tab/>
            </w:r>
            <w:r>
              <w:rPr>
                <w:noProof/>
                <w:webHidden/>
              </w:rPr>
              <w:fldChar w:fldCharType="begin"/>
            </w:r>
            <w:r>
              <w:rPr>
                <w:noProof/>
                <w:webHidden/>
              </w:rPr>
              <w:instrText xml:space="preserve"> PAGEREF _Toc224553228 \h </w:instrText>
            </w:r>
            <w:r>
              <w:rPr>
                <w:noProof/>
                <w:webHidden/>
              </w:rPr>
            </w:r>
            <w:r>
              <w:rPr>
                <w:noProof/>
                <w:webHidden/>
              </w:rPr>
              <w:fldChar w:fldCharType="separate"/>
            </w:r>
            <w:r>
              <w:rPr>
                <w:noProof/>
                <w:webHidden/>
              </w:rPr>
              <w:t>3</w:t>
            </w:r>
            <w:r>
              <w:rPr>
                <w:noProof/>
                <w:webHidden/>
              </w:rPr>
              <w:fldChar w:fldCharType="end"/>
            </w:r>
          </w:hyperlink>
        </w:p>
        <w:p w14:paraId="21C98D67" w14:textId="3FC4B7B8"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29" w:history="1">
            <w:r w:rsidRPr="00FB4A5A">
              <w:rPr>
                <w:rStyle w:val="Hyperlink"/>
                <w:noProof/>
              </w:rPr>
              <w:t>Executive summary</w:t>
            </w:r>
            <w:r>
              <w:rPr>
                <w:noProof/>
                <w:webHidden/>
              </w:rPr>
              <w:tab/>
            </w:r>
            <w:r>
              <w:rPr>
                <w:noProof/>
                <w:webHidden/>
              </w:rPr>
              <w:fldChar w:fldCharType="begin"/>
            </w:r>
            <w:r>
              <w:rPr>
                <w:noProof/>
                <w:webHidden/>
              </w:rPr>
              <w:instrText xml:space="preserve"> PAGEREF _Toc224553229 \h </w:instrText>
            </w:r>
            <w:r>
              <w:rPr>
                <w:noProof/>
                <w:webHidden/>
              </w:rPr>
            </w:r>
            <w:r>
              <w:rPr>
                <w:noProof/>
                <w:webHidden/>
              </w:rPr>
              <w:fldChar w:fldCharType="separate"/>
            </w:r>
            <w:r>
              <w:rPr>
                <w:noProof/>
                <w:webHidden/>
              </w:rPr>
              <w:t>5</w:t>
            </w:r>
            <w:r>
              <w:rPr>
                <w:noProof/>
                <w:webHidden/>
              </w:rPr>
              <w:fldChar w:fldCharType="end"/>
            </w:r>
          </w:hyperlink>
        </w:p>
        <w:p w14:paraId="4C427033" w14:textId="4DFFBB29"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0" w:history="1">
            <w:r w:rsidRPr="00FB4A5A">
              <w:rPr>
                <w:rStyle w:val="Hyperlink"/>
                <w:noProof/>
              </w:rPr>
              <w:t>Methodology and evidence base</w:t>
            </w:r>
            <w:r>
              <w:rPr>
                <w:noProof/>
                <w:webHidden/>
              </w:rPr>
              <w:tab/>
            </w:r>
            <w:r>
              <w:rPr>
                <w:noProof/>
                <w:webHidden/>
              </w:rPr>
              <w:fldChar w:fldCharType="begin"/>
            </w:r>
            <w:r>
              <w:rPr>
                <w:noProof/>
                <w:webHidden/>
              </w:rPr>
              <w:instrText xml:space="preserve"> PAGEREF _Toc224553230 \h </w:instrText>
            </w:r>
            <w:r>
              <w:rPr>
                <w:noProof/>
                <w:webHidden/>
              </w:rPr>
            </w:r>
            <w:r>
              <w:rPr>
                <w:noProof/>
                <w:webHidden/>
              </w:rPr>
              <w:fldChar w:fldCharType="separate"/>
            </w:r>
            <w:r>
              <w:rPr>
                <w:noProof/>
                <w:webHidden/>
              </w:rPr>
              <w:t>6</w:t>
            </w:r>
            <w:r>
              <w:rPr>
                <w:noProof/>
                <w:webHidden/>
              </w:rPr>
              <w:fldChar w:fldCharType="end"/>
            </w:r>
          </w:hyperlink>
        </w:p>
        <w:p w14:paraId="2BD72ED1" w14:textId="53039250"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1" w:history="1">
            <w:r w:rsidRPr="00FB4A5A">
              <w:rPr>
                <w:rStyle w:val="Hyperlink"/>
                <w:noProof/>
              </w:rPr>
              <w:t>Results</w:t>
            </w:r>
            <w:r>
              <w:rPr>
                <w:noProof/>
                <w:webHidden/>
              </w:rPr>
              <w:tab/>
            </w:r>
            <w:r>
              <w:rPr>
                <w:noProof/>
                <w:webHidden/>
              </w:rPr>
              <w:fldChar w:fldCharType="begin"/>
            </w:r>
            <w:r>
              <w:rPr>
                <w:noProof/>
                <w:webHidden/>
              </w:rPr>
              <w:instrText xml:space="preserve"> PAGEREF _Toc224553231 \h </w:instrText>
            </w:r>
            <w:r>
              <w:rPr>
                <w:noProof/>
                <w:webHidden/>
              </w:rPr>
            </w:r>
            <w:r>
              <w:rPr>
                <w:noProof/>
                <w:webHidden/>
              </w:rPr>
              <w:fldChar w:fldCharType="separate"/>
            </w:r>
            <w:r>
              <w:rPr>
                <w:noProof/>
                <w:webHidden/>
              </w:rPr>
              <w:t>7</w:t>
            </w:r>
            <w:r>
              <w:rPr>
                <w:noProof/>
                <w:webHidden/>
              </w:rPr>
              <w:fldChar w:fldCharType="end"/>
            </w:r>
          </w:hyperlink>
        </w:p>
        <w:p w14:paraId="792BDD0B" w14:textId="62430792"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2" w:history="1">
            <w:r w:rsidRPr="00FB4A5A">
              <w:rPr>
                <w:rStyle w:val="Hyperlink"/>
                <w:noProof/>
              </w:rPr>
              <w:t>Wider impacts and unquantified costs</w:t>
            </w:r>
            <w:r>
              <w:rPr>
                <w:noProof/>
                <w:webHidden/>
              </w:rPr>
              <w:tab/>
            </w:r>
            <w:r>
              <w:rPr>
                <w:noProof/>
                <w:webHidden/>
              </w:rPr>
              <w:fldChar w:fldCharType="begin"/>
            </w:r>
            <w:r>
              <w:rPr>
                <w:noProof/>
                <w:webHidden/>
              </w:rPr>
              <w:instrText xml:space="preserve"> PAGEREF _Toc224553232 \h </w:instrText>
            </w:r>
            <w:r>
              <w:rPr>
                <w:noProof/>
                <w:webHidden/>
              </w:rPr>
            </w:r>
            <w:r>
              <w:rPr>
                <w:noProof/>
                <w:webHidden/>
              </w:rPr>
              <w:fldChar w:fldCharType="separate"/>
            </w:r>
            <w:r>
              <w:rPr>
                <w:noProof/>
                <w:webHidden/>
              </w:rPr>
              <w:t>7</w:t>
            </w:r>
            <w:r>
              <w:rPr>
                <w:noProof/>
                <w:webHidden/>
              </w:rPr>
              <w:fldChar w:fldCharType="end"/>
            </w:r>
          </w:hyperlink>
        </w:p>
        <w:p w14:paraId="22CBD606" w14:textId="7C1684AE"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3" w:history="1">
            <w:r w:rsidRPr="00FB4A5A">
              <w:rPr>
                <w:rStyle w:val="Hyperlink"/>
                <w:noProof/>
              </w:rPr>
              <w:t>1 Introduction</w:t>
            </w:r>
            <w:r>
              <w:rPr>
                <w:noProof/>
                <w:webHidden/>
              </w:rPr>
              <w:tab/>
            </w:r>
            <w:r>
              <w:rPr>
                <w:noProof/>
                <w:webHidden/>
              </w:rPr>
              <w:fldChar w:fldCharType="begin"/>
            </w:r>
            <w:r>
              <w:rPr>
                <w:noProof/>
                <w:webHidden/>
              </w:rPr>
              <w:instrText xml:space="preserve"> PAGEREF _Toc224553233 \h </w:instrText>
            </w:r>
            <w:r>
              <w:rPr>
                <w:noProof/>
                <w:webHidden/>
              </w:rPr>
            </w:r>
            <w:r>
              <w:rPr>
                <w:noProof/>
                <w:webHidden/>
              </w:rPr>
              <w:fldChar w:fldCharType="separate"/>
            </w:r>
            <w:r>
              <w:rPr>
                <w:noProof/>
                <w:webHidden/>
              </w:rPr>
              <w:t>9</w:t>
            </w:r>
            <w:r>
              <w:rPr>
                <w:noProof/>
                <w:webHidden/>
              </w:rPr>
              <w:fldChar w:fldCharType="end"/>
            </w:r>
          </w:hyperlink>
        </w:p>
        <w:p w14:paraId="00DE74BB" w14:textId="4DEC0322"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4" w:history="1">
            <w:r w:rsidRPr="00FB4A5A">
              <w:rPr>
                <w:rStyle w:val="Hyperlink"/>
                <w:noProof/>
              </w:rPr>
              <w:t>2 Approach and methods</w:t>
            </w:r>
            <w:r>
              <w:rPr>
                <w:noProof/>
                <w:webHidden/>
              </w:rPr>
              <w:tab/>
            </w:r>
            <w:r>
              <w:rPr>
                <w:noProof/>
                <w:webHidden/>
              </w:rPr>
              <w:fldChar w:fldCharType="begin"/>
            </w:r>
            <w:r>
              <w:rPr>
                <w:noProof/>
                <w:webHidden/>
              </w:rPr>
              <w:instrText xml:space="preserve"> PAGEREF _Toc224553234 \h </w:instrText>
            </w:r>
            <w:r>
              <w:rPr>
                <w:noProof/>
                <w:webHidden/>
              </w:rPr>
            </w:r>
            <w:r>
              <w:rPr>
                <w:noProof/>
                <w:webHidden/>
              </w:rPr>
              <w:fldChar w:fldCharType="separate"/>
            </w:r>
            <w:r>
              <w:rPr>
                <w:noProof/>
                <w:webHidden/>
              </w:rPr>
              <w:t>10</w:t>
            </w:r>
            <w:r>
              <w:rPr>
                <w:noProof/>
                <w:webHidden/>
              </w:rPr>
              <w:fldChar w:fldCharType="end"/>
            </w:r>
          </w:hyperlink>
        </w:p>
        <w:p w14:paraId="7130E786" w14:textId="464C347A"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5" w:history="1">
            <w:r w:rsidRPr="00FB4A5A">
              <w:rPr>
                <w:rStyle w:val="Hyperlink"/>
                <w:noProof/>
              </w:rPr>
              <w:t>2.1 Evidence sources</w:t>
            </w:r>
            <w:r>
              <w:rPr>
                <w:noProof/>
                <w:webHidden/>
              </w:rPr>
              <w:tab/>
            </w:r>
            <w:r>
              <w:rPr>
                <w:noProof/>
                <w:webHidden/>
              </w:rPr>
              <w:fldChar w:fldCharType="begin"/>
            </w:r>
            <w:r>
              <w:rPr>
                <w:noProof/>
                <w:webHidden/>
              </w:rPr>
              <w:instrText xml:space="preserve"> PAGEREF _Toc224553235 \h </w:instrText>
            </w:r>
            <w:r>
              <w:rPr>
                <w:noProof/>
                <w:webHidden/>
              </w:rPr>
            </w:r>
            <w:r>
              <w:rPr>
                <w:noProof/>
                <w:webHidden/>
              </w:rPr>
              <w:fldChar w:fldCharType="separate"/>
            </w:r>
            <w:r>
              <w:rPr>
                <w:noProof/>
                <w:webHidden/>
              </w:rPr>
              <w:t>10</w:t>
            </w:r>
            <w:r>
              <w:rPr>
                <w:noProof/>
                <w:webHidden/>
              </w:rPr>
              <w:fldChar w:fldCharType="end"/>
            </w:r>
          </w:hyperlink>
        </w:p>
        <w:p w14:paraId="7C2EE55B" w14:textId="56F18A2F"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6" w:history="1">
            <w:r w:rsidRPr="00FB4A5A">
              <w:rPr>
                <w:rStyle w:val="Hyperlink"/>
                <w:noProof/>
              </w:rPr>
              <w:t>2.2 Cost modelling approach</w:t>
            </w:r>
            <w:r>
              <w:rPr>
                <w:noProof/>
                <w:webHidden/>
              </w:rPr>
              <w:tab/>
            </w:r>
            <w:r>
              <w:rPr>
                <w:noProof/>
                <w:webHidden/>
              </w:rPr>
              <w:fldChar w:fldCharType="begin"/>
            </w:r>
            <w:r>
              <w:rPr>
                <w:noProof/>
                <w:webHidden/>
              </w:rPr>
              <w:instrText xml:space="preserve"> PAGEREF _Toc224553236 \h </w:instrText>
            </w:r>
            <w:r>
              <w:rPr>
                <w:noProof/>
                <w:webHidden/>
              </w:rPr>
            </w:r>
            <w:r>
              <w:rPr>
                <w:noProof/>
                <w:webHidden/>
              </w:rPr>
              <w:fldChar w:fldCharType="separate"/>
            </w:r>
            <w:r>
              <w:rPr>
                <w:noProof/>
                <w:webHidden/>
              </w:rPr>
              <w:t>11</w:t>
            </w:r>
            <w:r>
              <w:rPr>
                <w:noProof/>
                <w:webHidden/>
              </w:rPr>
              <w:fldChar w:fldCharType="end"/>
            </w:r>
          </w:hyperlink>
        </w:p>
        <w:p w14:paraId="2E21CC2C" w14:textId="723C0B81"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7" w:history="1">
            <w:r w:rsidRPr="00FB4A5A">
              <w:rPr>
                <w:rStyle w:val="Hyperlink"/>
                <w:noProof/>
              </w:rPr>
              <w:t>3 Evidence from literature and stakeholders</w:t>
            </w:r>
            <w:r>
              <w:rPr>
                <w:noProof/>
                <w:webHidden/>
              </w:rPr>
              <w:tab/>
            </w:r>
            <w:r>
              <w:rPr>
                <w:noProof/>
                <w:webHidden/>
              </w:rPr>
              <w:fldChar w:fldCharType="begin"/>
            </w:r>
            <w:r>
              <w:rPr>
                <w:noProof/>
                <w:webHidden/>
              </w:rPr>
              <w:instrText xml:space="preserve"> PAGEREF _Toc224553237 \h </w:instrText>
            </w:r>
            <w:r>
              <w:rPr>
                <w:noProof/>
                <w:webHidden/>
              </w:rPr>
            </w:r>
            <w:r>
              <w:rPr>
                <w:noProof/>
                <w:webHidden/>
              </w:rPr>
              <w:fldChar w:fldCharType="separate"/>
            </w:r>
            <w:r>
              <w:rPr>
                <w:noProof/>
                <w:webHidden/>
              </w:rPr>
              <w:t>13</w:t>
            </w:r>
            <w:r>
              <w:rPr>
                <w:noProof/>
                <w:webHidden/>
              </w:rPr>
              <w:fldChar w:fldCharType="end"/>
            </w:r>
          </w:hyperlink>
        </w:p>
        <w:p w14:paraId="61A26E0D" w14:textId="7AE9B65A"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8" w:history="1">
            <w:r w:rsidRPr="00FB4A5A">
              <w:rPr>
                <w:rStyle w:val="Hyperlink"/>
                <w:noProof/>
              </w:rPr>
              <w:t>3.1 Weight given to evidence source</w:t>
            </w:r>
            <w:r>
              <w:rPr>
                <w:noProof/>
                <w:webHidden/>
              </w:rPr>
              <w:tab/>
            </w:r>
            <w:r>
              <w:rPr>
                <w:noProof/>
                <w:webHidden/>
              </w:rPr>
              <w:fldChar w:fldCharType="begin"/>
            </w:r>
            <w:r>
              <w:rPr>
                <w:noProof/>
                <w:webHidden/>
              </w:rPr>
              <w:instrText xml:space="preserve"> PAGEREF _Toc224553238 \h </w:instrText>
            </w:r>
            <w:r>
              <w:rPr>
                <w:noProof/>
                <w:webHidden/>
              </w:rPr>
            </w:r>
            <w:r>
              <w:rPr>
                <w:noProof/>
                <w:webHidden/>
              </w:rPr>
              <w:fldChar w:fldCharType="separate"/>
            </w:r>
            <w:r>
              <w:rPr>
                <w:noProof/>
                <w:webHidden/>
              </w:rPr>
              <w:t>13</w:t>
            </w:r>
            <w:r>
              <w:rPr>
                <w:noProof/>
                <w:webHidden/>
              </w:rPr>
              <w:fldChar w:fldCharType="end"/>
            </w:r>
          </w:hyperlink>
        </w:p>
        <w:p w14:paraId="2F64E029" w14:textId="39E611C9"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39" w:history="1">
            <w:r w:rsidRPr="00FB4A5A">
              <w:rPr>
                <w:rStyle w:val="Hyperlink"/>
                <w:noProof/>
              </w:rPr>
              <w:t>3.2 Evidence from the literature</w:t>
            </w:r>
            <w:r>
              <w:rPr>
                <w:noProof/>
                <w:webHidden/>
              </w:rPr>
              <w:tab/>
            </w:r>
            <w:r>
              <w:rPr>
                <w:noProof/>
                <w:webHidden/>
              </w:rPr>
              <w:fldChar w:fldCharType="begin"/>
            </w:r>
            <w:r>
              <w:rPr>
                <w:noProof/>
                <w:webHidden/>
              </w:rPr>
              <w:instrText xml:space="preserve"> PAGEREF _Toc224553239 \h </w:instrText>
            </w:r>
            <w:r>
              <w:rPr>
                <w:noProof/>
                <w:webHidden/>
              </w:rPr>
            </w:r>
            <w:r>
              <w:rPr>
                <w:noProof/>
                <w:webHidden/>
              </w:rPr>
              <w:fldChar w:fldCharType="separate"/>
            </w:r>
            <w:r>
              <w:rPr>
                <w:noProof/>
                <w:webHidden/>
              </w:rPr>
              <w:t>14</w:t>
            </w:r>
            <w:r>
              <w:rPr>
                <w:noProof/>
                <w:webHidden/>
              </w:rPr>
              <w:fldChar w:fldCharType="end"/>
            </w:r>
          </w:hyperlink>
        </w:p>
        <w:p w14:paraId="4BF84CE6" w14:textId="5AA4B0C3"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0" w:history="1">
            <w:r w:rsidRPr="00FB4A5A">
              <w:rPr>
                <w:rStyle w:val="Hyperlink"/>
                <w:noProof/>
              </w:rPr>
              <w:t>3.3 Evidence from stakeholders</w:t>
            </w:r>
            <w:r>
              <w:rPr>
                <w:noProof/>
                <w:webHidden/>
              </w:rPr>
              <w:tab/>
            </w:r>
            <w:r>
              <w:rPr>
                <w:noProof/>
                <w:webHidden/>
              </w:rPr>
              <w:fldChar w:fldCharType="begin"/>
            </w:r>
            <w:r>
              <w:rPr>
                <w:noProof/>
                <w:webHidden/>
              </w:rPr>
              <w:instrText xml:space="preserve"> PAGEREF _Toc224553240 \h </w:instrText>
            </w:r>
            <w:r>
              <w:rPr>
                <w:noProof/>
                <w:webHidden/>
              </w:rPr>
            </w:r>
            <w:r>
              <w:rPr>
                <w:noProof/>
                <w:webHidden/>
              </w:rPr>
              <w:fldChar w:fldCharType="separate"/>
            </w:r>
            <w:r>
              <w:rPr>
                <w:noProof/>
                <w:webHidden/>
              </w:rPr>
              <w:t>15</w:t>
            </w:r>
            <w:r>
              <w:rPr>
                <w:noProof/>
                <w:webHidden/>
              </w:rPr>
              <w:fldChar w:fldCharType="end"/>
            </w:r>
          </w:hyperlink>
        </w:p>
        <w:p w14:paraId="0FAB02C0" w14:textId="4E16A84F"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1" w:history="1">
            <w:r w:rsidRPr="00FB4A5A">
              <w:rPr>
                <w:rStyle w:val="Hyperlink"/>
                <w:noProof/>
              </w:rPr>
              <w:t>4 Quantitative results</w:t>
            </w:r>
            <w:r>
              <w:rPr>
                <w:noProof/>
                <w:webHidden/>
              </w:rPr>
              <w:tab/>
            </w:r>
            <w:r>
              <w:rPr>
                <w:noProof/>
                <w:webHidden/>
              </w:rPr>
              <w:fldChar w:fldCharType="begin"/>
            </w:r>
            <w:r>
              <w:rPr>
                <w:noProof/>
                <w:webHidden/>
              </w:rPr>
              <w:instrText xml:space="preserve"> PAGEREF _Toc224553241 \h </w:instrText>
            </w:r>
            <w:r>
              <w:rPr>
                <w:noProof/>
                <w:webHidden/>
              </w:rPr>
            </w:r>
            <w:r>
              <w:rPr>
                <w:noProof/>
                <w:webHidden/>
              </w:rPr>
              <w:fldChar w:fldCharType="separate"/>
            </w:r>
            <w:r>
              <w:rPr>
                <w:noProof/>
                <w:webHidden/>
              </w:rPr>
              <w:t>17</w:t>
            </w:r>
            <w:r>
              <w:rPr>
                <w:noProof/>
                <w:webHidden/>
              </w:rPr>
              <w:fldChar w:fldCharType="end"/>
            </w:r>
          </w:hyperlink>
        </w:p>
        <w:p w14:paraId="2E954882" w14:textId="7D116E90"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2" w:history="1">
            <w:r w:rsidRPr="00FB4A5A">
              <w:rPr>
                <w:rStyle w:val="Hyperlink"/>
                <w:noProof/>
              </w:rPr>
              <w:t>4.1 CO</w:t>
            </w:r>
            <w:r w:rsidRPr="00FB4A5A">
              <w:rPr>
                <w:rStyle w:val="Hyperlink"/>
                <w:noProof/>
                <w:vertAlign w:val="subscript"/>
              </w:rPr>
              <w:t xml:space="preserve">2 </w:t>
            </w:r>
            <w:r w:rsidRPr="00FB4A5A">
              <w:rPr>
                <w:rStyle w:val="Hyperlink"/>
                <w:noProof/>
              </w:rPr>
              <w:t>baseline for notional UK plant</w:t>
            </w:r>
            <w:r>
              <w:rPr>
                <w:noProof/>
                <w:webHidden/>
              </w:rPr>
              <w:tab/>
            </w:r>
            <w:r>
              <w:rPr>
                <w:noProof/>
                <w:webHidden/>
              </w:rPr>
              <w:fldChar w:fldCharType="begin"/>
            </w:r>
            <w:r>
              <w:rPr>
                <w:noProof/>
                <w:webHidden/>
              </w:rPr>
              <w:instrText xml:space="preserve"> PAGEREF _Toc224553242 \h </w:instrText>
            </w:r>
            <w:r>
              <w:rPr>
                <w:noProof/>
                <w:webHidden/>
              </w:rPr>
            </w:r>
            <w:r>
              <w:rPr>
                <w:noProof/>
                <w:webHidden/>
              </w:rPr>
              <w:fldChar w:fldCharType="separate"/>
            </w:r>
            <w:r>
              <w:rPr>
                <w:noProof/>
                <w:webHidden/>
              </w:rPr>
              <w:t>17</w:t>
            </w:r>
            <w:r>
              <w:rPr>
                <w:noProof/>
                <w:webHidden/>
              </w:rPr>
              <w:fldChar w:fldCharType="end"/>
            </w:r>
          </w:hyperlink>
        </w:p>
        <w:p w14:paraId="300B6504" w14:textId="3AF282AF"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3" w:history="1">
            <w:r w:rsidRPr="00FB4A5A">
              <w:rPr>
                <w:rStyle w:val="Hyperlink"/>
                <w:noProof/>
              </w:rPr>
              <w:t>4.2 Results for alternative scenarios</w:t>
            </w:r>
            <w:r>
              <w:rPr>
                <w:noProof/>
                <w:webHidden/>
              </w:rPr>
              <w:tab/>
            </w:r>
            <w:r>
              <w:rPr>
                <w:noProof/>
                <w:webHidden/>
              </w:rPr>
              <w:fldChar w:fldCharType="begin"/>
            </w:r>
            <w:r>
              <w:rPr>
                <w:noProof/>
                <w:webHidden/>
              </w:rPr>
              <w:instrText xml:space="preserve"> PAGEREF _Toc224553243 \h </w:instrText>
            </w:r>
            <w:r>
              <w:rPr>
                <w:noProof/>
                <w:webHidden/>
              </w:rPr>
            </w:r>
            <w:r>
              <w:rPr>
                <w:noProof/>
                <w:webHidden/>
              </w:rPr>
              <w:fldChar w:fldCharType="separate"/>
            </w:r>
            <w:r>
              <w:rPr>
                <w:noProof/>
                <w:webHidden/>
              </w:rPr>
              <w:t>18</w:t>
            </w:r>
            <w:r>
              <w:rPr>
                <w:noProof/>
                <w:webHidden/>
              </w:rPr>
              <w:fldChar w:fldCharType="end"/>
            </w:r>
          </w:hyperlink>
        </w:p>
        <w:p w14:paraId="402F105D" w14:textId="15578F1F"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4" w:history="1">
            <w:r w:rsidRPr="00FB4A5A">
              <w:rPr>
                <w:rStyle w:val="Hyperlink"/>
                <w:noProof/>
              </w:rPr>
              <w:t>4.3 Sensitivities</w:t>
            </w:r>
            <w:r>
              <w:rPr>
                <w:noProof/>
                <w:webHidden/>
              </w:rPr>
              <w:tab/>
            </w:r>
            <w:r>
              <w:rPr>
                <w:noProof/>
                <w:webHidden/>
              </w:rPr>
              <w:fldChar w:fldCharType="begin"/>
            </w:r>
            <w:r>
              <w:rPr>
                <w:noProof/>
                <w:webHidden/>
              </w:rPr>
              <w:instrText xml:space="preserve"> PAGEREF _Toc224553244 \h </w:instrText>
            </w:r>
            <w:r>
              <w:rPr>
                <w:noProof/>
                <w:webHidden/>
              </w:rPr>
            </w:r>
            <w:r>
              <w:rPr>
                <w:noProof/>
                <w:webHidden/>
              </w:rPr>
              <w:fldChar w:fldCharType="separate"/>
            </w:r>
            <w:r>
              <w:rPr>
                <w:noProof/>
                <w:webHidden/>
              </w:rPr>
              <w:t>21</w:t>
            </w:r>
            <w:r>
              <w:rPr>
                <w:noProof/>
                <w:webHidden/>
              </w:rPr>
              <w:fldChar w:fldCharType="end"/>
            </w:r>
          </w:hyperlink>
        </w:p>
        <w:p w14:paraId="68938551" w14:textId="1E4ADBA2"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5" w:history="1">
            <w:r w:rsidRPr="00FB4A5A">
              <w:rPr>
                <w:rStyle w:val="Hyperlink"/>
                <w:noProof/>
              </w:rPr>
              <w:t>5 Wider impacts</w:t>
            </w:r>
            <w:r>
              <w:rPr>
                <w:noProof/>
                <w:webHidden/>
              </w:rPr>
              <w:tab/>
            </w:r>
            <w:r>
              <w:rPr>
                <w:noProof/>
                <w:webHidden/>
              </w:rPr>
              <w:fldChar w:fldCharType="begin"/>
            </w:r>
            <w:r>
              <w:rPr>
                <w:noProof/>
                <w:webHidden/>
              </w:rPr>
              <w:instrText xml:space="preserve"> PAGEREF _Toc224553245 \h </w:instrText>
            </w:r>
            <w:r>
              <w:rPr>
                <w:noProof/>
                <w:webHidden/>
              </w:rPr>
            </w:r>
            <w:r>
              <w:rPr>
                <w:noProof/>
                <w:webHidden/>
              </w:rPr>
              <w:fldChar w:fldCharType="separate"/>
            </w:r>
            <w:r>
              <w:rPr>
                <w:noProof/>
                <w:webHidden/>
              </w:rPr>
              <w:t>23</w:t>
            </w:r>
            <w:r>
              <w:rPr>
                <w:noProof/>
                <w:webHidden/>
              </w:rPr>
              <w:fldChar w:fldCharType="end"/>
            </w:r>
          </w:hyperlink>
        </w:p>
        <w:p w14:paraId="7E6E63D7" w14:textId="66278C8A"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6" w:history="1">
            <w:r w:rsidRPr="00FB4A5A">
              <w:rPr>
                <w:rStyle w:val="Hyperlink"/>
                <w:noProof/>
              </w:rPr>
              <w:t>5.1 Short-run disruptions</w:t>
            </w:r>
            <w:r>
              <w:rPr>
                <w:noProof/>
                <w:webHidden/>
              </w:rPr>
              <w:tab/>
            </w:r>
            <w:r>
              <w:rPr>
                <w:noProof/>
                <w:webHidden/>
              </w:rPr>
              <w:fldChar w:fldCharType="begin"/>
            </w:r>
            <w:r>
              <w:rPr>
                <w:noProof/>
                <w:webHidden/>
              </w:rPr>
              <w:instrText xml:space="preserve"> PAGEREF _Toc224553246 \h </w:instrText>
            </w:r>
            <w:r>
              <w:rPr>
                <w:noProof/>
                <w:webHidden/>
              </w:rPr>
            </w:r>
            <w:r>
              <w:rPr>
                <w:noProof/>
                <w:webHidden/>
              </w:rPr>
              <w:fldChar w:fldCharType="separate"/>
            </w:r>
            <w:r>
              <w:rPr>
                <w:noProof/>
                <w:webHidden/>
              </w:rPr>
              <w:t>23</w:t>
            </w:r>
            <w:r>
              <w:rPr>
                <w:noProof/>
                <w:webHidden/>
              </w:rPr>
              <w:fldChar w:fldCharType="end"/>
            </w:r>
          </w:hyperlink>
        </w:p>
        <w:p w14:paraId="6BF93320" w14:textId="4E6B1B41"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7" w:history="1">
            <w:r w:rsidRPr="00FB4A5A">
              <w:rPr>
                <w:rStyle w:val="Hyperlink"/>
                <w:noProof/>
              </w:rPr>
              <w:t>5.2 Long-run equilibrium supply impacts</w:t>
            </w:r>
            <w:r>
              <w:rPr>
                <w:noProof/>
                <w:webHidden/>
              </w:rPr>
              <w:tab/>
            </w:r>
            <w:r>
              <w:rPr>
                <w:noProof/>
                <w:webHidden/>
              </w:rPr>
              <w:fldChar w:fldCharType="begin"/>
            </w:r>
            <w:r>
              <w:rPr>
                <w:noProof/>
                <w:webHidden/>
              </w:rPr>
              <w:instrText xml:space="preserve"> PAGEREF _Toc224553247 \h </w:instrText>
            </w:r>
            <w:r>
              <w:rPr>
                <w:noProof/>
                <w:webHidden/>
              </w:rPr>
            </w:r>
            <w:r>
              <w:rPr>
                <w:noProof/>
                <w:webHidden/>
              </w:rPr>
              <w:fldChar w:fldCharType="separate"/>
            </w:r>
            <w:r>
              <w:rPr>
                <w:noProof/>
                <w:webHidden/>
              </w:rPr>
              <w:t>24</w:t>
            </w:r>
            <w:r>
              <w:rPr>
                <w:noProof/>
                <w:webHidden/>
              </w:rPr>
              <w:fldChar w:fldCharType="end"/>
            </w:r>
          </w:hyperlink>
        </w:p>
        <w:p w14:paraId="522B54ED" w14:textId="17C4164E"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8" w:history="1">
            <w:r w:rsidRPr="00FB4A5A">
              <w:rPr>
                <w:rStyle w:val="Hyperlink"/>
                <w:noProof/>
              </w:rPr>
              <w:t>5.3 Demand</w:t>
            </w:r>
            <w:r w:rsidRPr="00FB4A5A">
              <w:rPr>
                <w:rStyle w:val="Hyperlink"/>
                <w:noProof/>
              </w:rPr>
              <w:noBreakHyphen/>
              <w:t>side impacts</w:t>
            </w:r>
            <w:r>
              <w:rPr>
                <w:noProof/>
                <w:webHidden/>
              </w:rPr>
              <w:tab/>
            </w:r>
            <w:r>
              <w:rPr>
                <w:noProof/>
                <w:webHidden/>
              </w:rPr>
              <w:fldChar w:fldCharType="begin"/>
            </w:r>
            <w:r>
              <w:rPr>
                <w:noProof/>
                <w:webHidden/>
              </w:rPr>
              <w:instrText xml:space="preserve"> PAGEREF _Toc224553248 \h </w:instrText>
            </w:r>
            <w:r>
              <w:rPr>
                <w:noProof/>
                <w:webHidden/>
              </w:rPr>
            </w:r>
            <w:r>
              <w:rPr>
                <w:noProof/>
                <w:webHidden/>
              </w:rPr>
              <w:fldChar w:fldCharType="separate"/>
            </w:r>
            <w:r>
              <w:rPr>
                <w:noProof/>
                <w:webHidden/>
              </w:rPr>
              <w:t>25</w:t>
            </w:r>
            <w:r>
              <w:rPr>
                <w:noProof/>
                <w:webHidden/>
              </w:rPr>
              <w:fldChar w:fldCharType="end"/>
            </w:r>
          </w:hyperlink>
        </w:p>
        <w:p w14:paraId="6365DD24" w14:textId="6B659DC8" w:rsidR="00863DD0" w:rsidRDefault="00863DD0">
          <w:pPr>
            <w:pStyle w:val="TOC3"/>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49" w:history="1">
            <w:r w:rsidRPr="00FB4A5A">
              <w:rPr>
                <w:rStyle w:val="Hyperlink"/>
                <w:noProof/>
              </w:rPr>
              <w:t>5.4 Other impacts</w:t>
            </w:r>
            <w:r>
              <w:rPr>
                <w:noProof/>
                <w:webHidden/>
              </w:rPr>
              <w:tab/>
            </w:r>
            <w:r>
              <w:rPr>
                <w:noProof/>
                <w:webHidden/>
              </w:rPr>
              <w:fldChar w:fldCharType="begin"/>
            </w:r>
            <w:r>
              <w:rPr>
                <w:noProof/>
                <w:webHidden/>
              </w:rPr>
              <w:instrText xml:space="preserve"> PAGEREF _Toc224553249 \h </w:instrText>
            </w:r>
            <w:r>
              <w:rPr>
                <w:noProof/>
                <w:webHidden/>
              </w:rPr>
            </w:r>
            <w:r>
              <w:rPr>
                <w:noProof/>
                <w:webHidden/>
              </w:rPr>
              <w:fldChar w:fldCharType="separate"/>
            </w:r>
            <w:r>
              <w:rPr>
                <w:noProof/>
                <w:webHidden/>
              </w:rPr>
              <w:t>26</w:t>
            </w:r>
            <w:r>
              <w:rPr>
                <w:noProof/>
                <w:webHidden/>
              </w:rPr>
              <w:fldChar w:fldCharType="end"/>
            </w:r>
          </w:hyperlink>
        </w:p>
        <w:p w14:paraId="55E18E23" w14:textId="51969158" w:rsidR="00863DD0" w:rsidRDefault="00863DD0">
          <w:pPr>
            <w:pStyle w:val="TOC2"/>
            <w:tabs>
              <w:tab w:val="right" w:leader="dot" w:pos="9968"/>
            </w:tabs>
            <w:rPr>
              <w:rFonts w:asciiTheme="minorHAnsi" w:eastAsiaTheme="minorEastAsia" w:hAnsiTheme="minorHAnsi" w:cstheme="minorBidi"/>
              <w:noProof/>
              <w:color w:val="auto"/>
              <w:kern w:val="2"/>
              <w:sz w:val="24"/>
              <w:szCs w:val="24"/>
              <w14:ligatures w14:val="standardContextual"/>
            </w:rPr>
          </w:pPr>
          <w:hyperlink w:anchor="_Toc224553250" w:history="1">
            <w:r w:rsidRPr="00FB4A5A">
              <w:rPr>
                <w:rStyle w:val="Hyperlink"/>
                <w:noProof/>
              </w:rPr>
              <w:t>6 Conclusions</w:t>
            </w:r>
            <w:r>
              <w:rPr>
                <w:noProof/>
                <w:webHidden/>
              </w:rPr>
              <w:tab/>
            </w:r>
            <w:r>
              <w:rPr>
                <w:noProof/>
                <w:webHidden/>
              </w:rPr>
              <w:fldChar w:fldCharType="begin"/>
            </w:r>
            <w:r>
              <w:rPr>
                <w:noProof/>
                <w:webHidden/>
              </w:rPr>
              <w:instrText xml:space="preserve"> PAGEREF _Toc224553250 \h </w:instrText>
            </w:r>
            <w:r>
              <w:rPr>
                <w:noProof/>
                <w:webHidden/>
              </w:rPr>
            </w:r>
            <w:r>
              <w:rPr>
                <w:noProof/>
                <w:webHidden/>
              </w:rPr>
              <w:fldChar w:fldCharType="separate"/>
            </w:r>
            <w:r>
              <w:rPr>
                <w:noProof/>
                <w:webHidden/>
              </w:rPr>
              <w:t>28</w:t>
            </w:r>
            <w:r>
              <w:rPr>
                <w:noProof/>
                <w:webHidden/>
              </w:rPr>
              <w:fldChar w:fldCharType="end"/>
            </w:r>
          </w:hyperlink>
        </w:p>
        <w:p w14:paraId="283C071B" w14:textId="3BCB2BE0" w:rsidR="00716D4D" w:rsidRDefault="00863DD0" w:rsidP="00863DD0">
          <w:pPr>
            <w:pStyle w:val="TOC3"/>
            <w:tabs>
              <w:tab w:val="right" w:leader="dot" w:pos="9968"/>
            </w:tabs>
          </w:pPr>
          <w:hyperlink w:anchor="_Toc224553251" w:history="1">
            <w:r w:rsidRPr="00FB4A5A">
              <w:rPr>
                <w:rStyle w:val="Hyperlink"/>
                <w:noProof/>
              </w:rPr>
              <w:t>Contact us</w:t>
            </w:r>
            <w:r>
              <w:rPr>
                <w:noProof/>
                <w:webHidden/>
              </w:rPr>
              <w:tab/>
            </w:r>
            <w:r>
              <w:rPr>
                <w:noProof/>
                <w:webHidden/>
              </w:rPr>
              <w:fldChar w:fldCharType="begin"/>
            </w:r>
            <w:r>
              <w:rPr>
                <w:noProof/>
                <w:webHidden/>
              </w:rPr>
              <w:instrText xml:space="preserve"> PAGEREF _Toc224553251 \h </w:instrText>
            </w:r>
            <w:r>
              <w:rPr>
                <w:noProof/>
                <w:webHidden/>
              </w:rPr>
            </w:r>
            <w:r>
              <w:rPr>
                <w:noProof/>
                <w:webHidden/>
              </w:rPr>
              <w:fldChar w:fldCharType="separate"/>
            </w:r>
            <w:r>
              <w:rPr>
                <w:noProof/>
                <w:webHidden/>
              </w:rPr>
              <w:t>29</w:t>
            </w:r>
            <w:r>
              <w:rPr>
                <w:noProof/>
                <w:webHidden/>
              </w:rPr>
              <w:fldChar w:fldCharType="end"/>
            </w:r>
          </w:hyperlink>
          <w:r w:rsidR="00716D4D">
            <w:rPr>
              <w:b/>
              <w:bCs/>
              <w:noProof/>
            </w:rPr>
            <w:fldChar w:fldCharType="end"/>
          </w:r>
        </w:p>
      </w:sdtContent>
    </w:sdt>
    <w:p w14:paraId="23E362BF" w14:textId="77777777" w:rsidR="00E069DF" w:rsidRPr="00642952" w:rsidRDefault="00E069DF" w:rsidP="003F7096">
      <w:pPr>
        <w:pStyle w:val="Heading2"/>
      </w:pPr>
    </w:p>
    <w:p w14:paraId="2C09F91E" w14:textId="77777777" w:rsidR="00791B14" w:rsidRDefault="00791B14" w:rsidP="003F7096">
      <w:pPr>
        <w:pStyle w:val="Heading2"/>
      </w:pPr>
    </w:p>
    <w:p w14:paraId="52B24B3B" w14:textId="77777777" w:rsidR="00791B14" w:rsidRDefault="00791B14" w:rsidP="003F7096">
      <w:pPr>
        <w:pStyle w:val="Heading2"/>
      </w:pPr>
    </w:p>
    <w:p w14:paraId="601440A8" w14:textId="66AB3F8F" w:rsidR="003F7096" w:rsidRPr="00642952" w:rsidRDefault="005D6EEB" w:rsidP="003F7096">
      <w:pPr>
        <w:pStyle w:val="Heading2"/>
      </w:pPr>
      <w:bookmarkStart w:id="2" w:name="_Toc224553228"/>
      <w:r w:rsidRPr="00642952">
        <w:lastRenderedPageBreak/>
        <w:t>Foreword</w:t>
      </w:r>
      <w:bookmarkEnd w:id="2"/>
    </w:p>
    <w:p w14:paraId="72B8E4DD" w14:textId="12BB6D18" w:rsidR="00FC12B4" w:rsidRPr="00642952" w:rsidRDefault="00FC12B4" w:rsidP="00FC12B4">
      <w:r w:rsidRPr="00642952">
        <w:t>The Pig Health and Welfare Council (PHWC) brings together producers, processors, vets, welfare scientists, government representatives and allied industries with a shared commitment to advancing the health and welfare of pigs across the UK. Central to this mission is the need to continually assess the evidence underpinning slaughter practices. Methods used in commercial settings should reflect latest scientific evidence and the practical realities of modern pig production. </w:t>
      </w:r>
    </w:p>
    <w:p w14:paraId="6E228641" w14:textId="64CF4394" w:rsidR="00B4727E" w:rsidRDefault="00476508" w:rsidP="00FC12B4">
      <w:r w:rsidRPr="00642952">
        <w:t>High</w:t>
      </w:r>
      <w:r w:rsidR="00E2086A" w:rsidRPr="00642952">
        <w:t>-</w:t>
      </w:r>
      <w:r w:rsidRPr="00642952">
        <w:t>concentration</w:t>
      </w:r>
      <w:r w:rsidR="00FC12B4" w:rsidRPr="00642952">
        <w:t> carbon dioxide (CO</w:t>
      </w:r>
      <w:r w:rsidR="00FC12B4" w:rsidRPr="00642952">
        <w:rPr>
          <w:rFonts w:ascii="Cambria Math" w:hAnsi="Cambria Math" w:cs="Cambria Math"/>
        </w:rPr>
        <w:t>₂</w:t>
      </w:r>
      <w:r w:rsidR="00FC12B4" w:rsidRPr="00642952">
        <w:t>) remains the predominant stunning method used, not only in UK pig processing but around the world. The procedure allows pigs to be moved to the point of stunning in a manner sympathetic to their natural group instincts and behaviours, with minimal individual restraint which is considered a significant welfare benefit. It also offers predictable throughput and optimises product quality.</w:t>
      </w:r>
    </w:p>
    <w:p w14:paraId="3A30F82F" w14:textId="1634A392" w:rsidR="00FC12B4" w:rsidRPr="00642952" w:rsidRDefault="00FC12B4" w:rsidP="00FC12B4">
      <w:r w:rsidRPr="00642952">
        <w:t>However, PHWC recognises the growing body of evidence highlighting significant welfare concerns associated with CO</w:t>
      </w:r>
      <w:r w:rsidRPr="00642952">
        <w:rPr>
          <w:rFonts w:ascii="Cambria Math" w:hAnsi="Cambria Math" w:cs="Cambria Math"/>
        </w:rPr>
        <w:t>₂</w:t>
      </w:r>
      <w:r w:rsidRPr="00642952">
        <w:t xml:space="preserve"> exposure</w:t>
      </w:r>
      <w:r w:rsidR="006A4EA1" w:rsidRPr="00642952">
        <w:t xml:space="preserve"> – </w:t>
      </w:r>
      <w:r w:rsidRPr="00642952">
        <w:t>particularly aversion, respiratory distress and behavioural signs of discomfort before unconsciousness. As societal expectations evolve, and as scientific understanding deepens, the sector recognises the need to evaluate new, alternative stunning systems and any welfare improvements they may offer. </w:t>
      </w:r>
    </w:p>
    <w:p w14:paraId="7CB7DA4A" w14:textId="7C73D2A1" w:rsidR="00CF4C38" w:rsidRDefault="007F0A2E" w:rsidP="007F0A2E">
      <w:r w:rsidRPr="00642952">
        <w:t>Transitioning from CO</w:t>
      </w:r>
      <w:r w:rsidRPr="00642952">
        <w:rPr>
          <w:rFonts w:ascii="Cambria Math" w:hAnsi="Cambria Math" w:cs="Cambria Math"/>
        </w:rPr>
        <w:t>₂</w:t>
      </w:r>
      <w:r w:rsidRPr="00642952">
        <w:t xml:space="preserve"> to alternative stunning systems is more than a technical adjustment; it represents a transformational change in commercial processing operations. To ensure this shift delivers genuine welfare, operational and economic benefits, it is essential that it is guided by robust science, proven commercial viability and clear regulatory frameworks.</w:t>
      </w:r>
    </w:p>
    <w:p w14:paraId="744CFC24" w14:textId="02646C58" w:rsidR="007F0A2E" w:rsidRPr="00642952" w:rsidRDefault="007F0A2E" w:rsidP="007F0A2E">
      <w:r w:rsidRPr="00642952">
        <w:t xml:space="preserve">An </w:t>
      </w:r>
      <w:r w:rsidR="00533982" w:rsidRPr="00642952">
        <w:t>industry</w:t>
      </w:r>
      <w:r w:rsidR="006A4EA1" w:rsidRPr="00642952">
        <w:t>-</w:t>
      </w:r>
      <w:r w:rsidR="00533982" w:rsidRPr="00642952">
        <w:t>led</w:t>
      </w:r>
      <w:r w:rsidRPr="00642952">
        <w:t xml:space="preserve">, </w:t>
      </w:r>
      <w:r w:rsidR="00A94DDD" w:rsidRPr="00642952">
        <w:t>evidence-based</w:t>
      </w:r>
      <w:r w:rsidRPr="00642952">
        <w:t xml:space="preserve"> transition allows processors to adopt new technologies responsibly, rather than facing the challenges and unintended consequences that could arise from change driven solely by a mandated ban. Maintaining high animal welfare standards, along with worker safety and current line speeds, requires that early adopters of argon or other hypoxic systems have confidence that these emerging technologies are validated at commercial scale and can operate safely and efficiently. </w:t>
      </w:r>
    </w:p>
    <w:p w14:paraId="653905A1" w14:textId="13F5BBDB" w:rsidR="007F0A2E" w:rsidRPr="00642952" w:rsidRDefault="007F0A2E" w:rsidP="007F0A2E">
      <w:r w:rsidRPr="00642952">
        <w:t>Moving ahead without comprehensive testing and validation could risk inefficiencies in processing, reduced throughput and difficulty meeting customer demand for British pork. If domestic capacity were constrained before suitable alternatives are fully established, retailers and foodservice operators may be forced to source pork from countries where CO</w:t>
      </w:r>
      <w:r w:rsidRPr="00642952">
        <w:rPr>
          <w:rFonts w:ascii="Cambria Math" w:hAnsi="Cambria Math" w:cs="Cambria Math"/>
        </w:rPr>
        <w:t>₂</w:t>
      </w:r>
      <w:r w:rsidRPr="00642952">
        <w:t xml:space="preserve"> stunning remains standard practice and where </w:t>
      </w:r>
      <w:r w:rsidR="00533982" w:rsidRPr="00642952">
        <w:t>on</w:t>
      </w:r>
      <w:r w:rsidR="006A4EA1" w:rsidRPr="00642952">
        <w:t>-</w:t>
      </w:r>
      <w:r w:rsidR="00533982" w:rsidRPr="00642952">
        <w:t>farm</w:t>
      </w:r>
      <w:r w:rsidRPr="00642952">
        <w:t xml:space="preserve"> welfare requirements may be lower. This would displace UK production, undermine the competitiveness of the British pig sector and result in pork being imported from systems that fall short of the standards expected in the UK</w:t>
      </w:r>
      <w:r w:rsidR="006A4EA1" w:rsidRPr="00642952">
        <w:t xml:space="preserve"> – </w:t>
      </w:r>
      <w:r w:rsidRPr="00642952">
        <w:t>ultimately doing little to advance global animal welfare.</w:t>
      </w:r>
    </w:p>
    <w:p w14:paraId="10347D6D" w14:textId="77777777" w:rsidR="00C125BB" w:rsidRDefault="00FC12B4" w:rsidP="00FC12B4">
      <w:r w:rsidRPr="00642952">
        <w:t>This report provides a robust and impartial assessment of the economic implications of moving away from CO</w:t>
      </w:r>
      <w:r w:rsidRPr="00642952">
        <w:rPr>
          <w:rFonts w:ascii="Cambria Math" w:hAnsi="Cambria Math" w:cs="Cambria Math"/>
        </w:rPr>
        <w:t>₂</w:t>
      </w:r>
      <w:r w:rsidRPr="00642952">
        <w:t xml:space="preserve"> stunning within a commercial UK context. Commissioned by AHDB and informed by extensive stakeholder engagement and the latest literature, it offers a realistic appraisal of the costs, operational factors and uncertainties associated with adopting inert gases such as argon or enhanced electrical systems.</w:t>
      </w:r>
    </w:p>
    <w:p w14:paraId="5888D957" w14:textId="705BE386" w:rsidR="00FC12B4" w:rsidRPr="00642952" w:rsidRDefault="00FC12B4" w:rsidP="00FC12B4">
      <w:r w:rsidRPr="00642952">
        <w:t>Importantly, the report does not attempt to determine which method should replace CO</w:t>
      </w:r>
      <w:r w:rsidRPr="00642952">
        <w:rPr>
          <w:rFonts w:ascii="Cambria Math" w:hAnsi="Cambria Math" w:cs="Cambria Math"/>
        </w:rPr>
        <w:t>₂</w:t>
      </w:r>
      <w:r w:rsidRPr="00642952">
        <w:t>, nor does it draw welfare conclusions; rather, it supplies critical economic insight that must sit alongside ongoing welfare evaluations and practical considerations. </w:t>
      </w:r>
    </w:p>
    <w:p w14:paraId="3F6B581F" w14:textId="77777777" w:rsidR="00093728" w:rsidRDefault="00FC12B4" w:rsidP="00FC12B4">
      <w:r w:rsidRPr="00642952">
        <w:t>The findings present a nuanced picture. While alternative systems may hold welfare potential, all options currently come with substantial financial, logistical and operational challenges. Throughput, labour, capital investment, installation downtime and the practicalities of retrofitting existing sites all shape feasibility.</w:t>
      </w:r>
    </w:p>
    <w:p w14:paraId="1506D1FF" w14:textId="593484DA" w:rsidR="00FC12B4" w:rsidRPr="00642952" w:rsidRDefault="00FC12B4" w:rsidP="00FC12B4">
      <w:r w:rsidRPr="00642952">
        <w:t>Wider impacts</w:t>
      </w:r>
      <w:r w:rsidR="006A4EA1" w:rsidRPr="00642952">
        <w:t xml:space="preserve"> – </w:t>
      </w:r>
      <w:r w:rsidRPr="00642952">
        <w:t>such as gas supply resilience, meat quality, regulatory approvals and the welfare implications of pre</w:t>
      </w:r>
      <w:r w:rsidR="00533982" w:rsidRPr="00642952">
        <w:t>-</w:t>
      </w:r>
      <w:r w:rsidRPr="00642952">
        <w:t>stun handling</w:t>
      </w:r>
      <w:r w:rsidR="006A4EA1" w:rsidRPr="00642952">
        <w:t xml:space="preserve"> – </w:t>
      </w:r>
      <w:r w:rsidRPr="00642952">
        <w:t>also carry significant weight and must be considered holistically. </w:t>
      </w:r>
    </w:p>
    <w:p w14:paraId="41B2F2FC" w14:textId="2D7847D4" w:rsidR="00FC12B4" w:rsidRPr="00642952" w:rsidRDefault="00FC12B4" w:rsidP="00FC12B4">
      <w:r w:rsidRPr="00642952">
        <w:t>For PHWC, this report is an important contribution to the broader evidence base required to support informed, </w:t>
      </w:r>
      <w:r w:rsidR="00476508" w:rsidRPr="00642952">
        <w:t>sector</w:t>
      </w:r>
      <w:r w:rsidR="006A4EA1" w:rsidRPr="00642952">
        <w:t>-</w:t>
      </w:r>
      <w:r w:rsidR="00476508" w:rsidRPr="00642952">
        <w:t>wide</w:t>
      </w:r>
      <w:r w:rsidRPr="00642952">
        <w:t> </w:t>
      </w:r>
      <w:r w:rsidR="00476508" w:rsidRPr="00642952">
        <w:t>decision making</w:t>
      </w:r>
      <w:r w:rsidRPr="00642952">
        <w:t>. Any transition away from CO</w:t>
      </w:r>
      <w:r w:rsidRPr="00642952">
        <w:rPr>
          <w:rFonts w:ascii="Cambria Math" w:hAnsi="Cambria Math" w:cs="Cambria Math"/>
        </w:rPr>
        <w:t>₂</w:t>
      </w:r>
      <w:r w:rsidRPr="00642952">
        <w:t xml:space="preserve">, should it be pursued, will demand careful </w:t>
      </w:r>
      <w:r w:rsidRPr="00642952">
        <w:lastRenderedPageBreak/>
        <w:t>planning, </w:t>
      </w:r>
      <w:r w:rsidR="00476508" w:rsidRPr="00642952">
        <w:t>cross</w:t>
      </w:r>
      <w:r w:rsidR="006A4EA1" w:rsidRPr="00642952">
        <w:t>-</w:t>
      </w:r>
      <w:r w:rsidR="00476508" w:rsidRPr="00642952">
        <w:t>sector</w:t>
      </w:r>
      <w:r w:rsidRPr="00642952">
        <w:t> coordination and a clear understanding of the welfare, commercial and logistical implications. Furthermore, it is important to recognise that any such transition will also need to be based upon further practical research, given the limited global availability of </w:t>
      </w:r>
      <w:r w:rsidR="00476508" w:rsidRPr="00642952">
        <w:t>commercial scale</w:t>
      </w:r>
      <w:r w:rsidRPr="00642952">
        <w:t> experience with some of the potential alternatives.  </w:t>
      </w:r>
    </w:p>
    <w:p w14:paraId="0920951A" w14:textId="77777777" w:rsidR="00FC12B4" w:rsidRPr="00642952" w:rsidRDefault="00FC12B4" w:rsidP="00FC12B4">
      <w:r w:rsidRPr="00642952">
        <w:t>We hope this work will support constructive dialogue between government, sector and welfare experts as we collectively consider the best way forward. Ensuring that stunning methods are not only economically viable but also deliver meaningful welfare benefits remains a central objective of PHWC, and this report provides a valuable foundation for that ongoing effort.</w:t>
      </w:r>
    </w:p>
    <w:p w14:paraId="258AE73C" w14:textId="77777777" w:rsidR="000013AD" w:rsidRPr="00642952" w:rsidRDefault="000013AD" w:rsidP="000013AD">
      <w:pPr>
        <w:jc w:val="right"/>
        <w:rPr>
          <w:sz w:val="24"/>
          <w:szCs w:val="24"/>
        </w:rPr>
      </w:pPr>
    </w:p>
    <w:p w14:paraId="428ABC88" w14:textId="55AB3E89" w:rsidR="000013AD" w:rsidRPr="00642952" w:rsidRDefault="009A0727" w:rsidP="000312D7">
      <w:pPr>
        <w:rPr>
          <w:sz w:val="24"/>
          <w:szCs w:val="24"/>
        </w:rPr>
      </w:pPr>
      <w:r w:rsidRPr="00642952">
        <w:rPr>
          <w:sz w:val="24"/>
          <w:szCs w:val="24"/>
        </w:rPr>
        <w:t xml:space="preserve">Duncan Berkshire </w:t>
      </w:r>
      <w:r w:rsidR="000013AD" w:rsidRPr="00642952">
        <w:rPr>
          <w:sz w:val="24"/>
          <w:szCs w:val="24"/>
        </w:rPr>
        <w:t>MA VetMB MSc CertPM FRCVS</w:t>
      </w:r>
    </w:p>
    <w:p w14:paraId="6051E2AD" w14:textId="55FFE970" w:rsidR="000013AD" w:rsidRDefault="000013AD" w:rsidP="000312D7">
      <w:pPr>
        <w:rPr>
          <w:sz w:val="24"/>
          <w:szCs w:val="24"/>
        </w:rPr>
      </w:pPr>
      <w:r w:rsidRPr="00642952">
        <w:rPr>
          <w:sz w:val="24"/>
          <w:szCs w:val="24"/>
        </w:rPr>
        <w:t>Pig Health and Welfare Council Chair</w:t>
      </w:r>
    </w:p>
    <w:p w14:paraId="7AEF2253" w14:textId="77777777" w:rsidR="00CD6165" w:rsidRPr="00642952" w:rsidRDefault="00CD6165" w:rsidP="000312D7">
      <w:pPr>
        <w:rPr>
          <w:sz w:val="24"/>
          <w:szCs w:val="24"/>
        </w:rPr>
      </w:pPr>
    </w:p>
    <w:p w14:paraId="2FC51E05" w14:textId="6FA75ED5" w:rsidR="009A0727" w:rsidRPr="00642952" w:rsidRDefault="000312D7" w:rsidP="000312D7">
      <w:r w:rsidRPr="00642952">
        <w:rPr>
          <w:noProof/>
        </w:rPr>
        <w:drawing>
          <wp:inline distT="0" distB="0" distL="0" distR="0" wp14:anchorId="02EDFB68" wp14:editId="7E403941">
            <wp:extent cx="1193800" cy="682171"/>
            <wp:effectExtent l="0" t="0" r="6350" b="3810"/>
            <wp:docPr id="4" name="Picture 3" descr="Logo featuring white text &quot;PHWC&quot; above a white silhouette of a pig with the words &quot;Pig Health and Welfare Council&quot; inside it, all set against a blue background.">
              <a:extLst xmlns:a="http://schemas.openxmlformats.org/drawingml/2006/main">
                <a:ext uri="{FF2B5EF4-FFF2-40B4-BE49-F238E27FC236}">
                  <a16:creationId xmlns:a16="http://schemas.microsoft.com/office/drawing/2014/main" id="{6C79CC7A-7D3C-F5A7-4E69-8814772019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featuring white text &quot;PHWC&quot; above a white silhouette of a pig with the words &quot;Pig Health and Welfare Council&quot; inside it, all set against a blue background.">
                      <a:extLst>
                        <a:ext uri="{FF2B5EF4-FFF2-40B4-BE49-F238E27FC236}">
                          <a16:creationId xmlns:a16="http://schemas.microsoft.com/office/drawing/2014/main" id="{6C79CC7A-7D3C-F5A7-4E69-88147720192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68217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ED5A00" w:rsidRPr="00642952">
        <w:t xml:space="preserve">                                                                                                                                     </w:t>
      </w:r>
    </w:p>
    <w:p w14:paraId="64A25421" w14:textId="5F1E560D" w:rsidR="0025006F" w:rsidRPr="00642952" w:rsidRDefault="0025006F" w:rsidP="00932A32">
      <w:pPr>
        <w:pStyle w:val="Heading2"/>
      </w:pPr>
      <w:bookmarkStart w:id="3" w:name="_Toc216280648"/>
    </w:p>
    <w:p w14:paraId="21958C21" w14:textId="77777777" w:rsidR="0025006F" w:rsidRPr="00642952" w:rsidRDefault="0025006F" w:rsidP="00932A32">
      <w:pPr>
        <w:pStyle w:val="Heading2"/>
      </w:pPr>
    </w:p>
    <w:p w14:paraId="749F3117" w14:textId="77777777" w:rsidR="00671AAE" w:rsidRPr="00642952" w:rsidRDefault="00671AAE" w:rsidP="00932A32">
      <w:pPr>
        <w:pStyle w:val="Heading2"/>
      </w:pPr>
    </w:p>
    <w:p w14:paraId="09575582" w14:textId="77777777" w:rsidR="00671AAE" w:rsidRPr="00642952" w:rsidRDefault="00671AAE" w:rsidP="00932A32">
      <w:pPr>
        <w:pStyle w:val="Heading2"/>
      </w:pPr>
    </w:p>
    <w:p w14:paraId="78388FF6" w14:textId="77777777" w:rsidR="00671AAE" w:rsidRPr="00642952" w:rsidRDefault="00671AAE" w:rsidP="00932A32">
      <w:pPr>
        <w:pStyle w:val="Heading2"/>
      </w:pPr>
    </w:p>
    <w:p w14:paraId="3BA7302A" w14:textId="77777777" w:rsidR="00671AAE" w:rsidRPr="00642952" w:rsidRDefault="00671AAE" w:rsidP="00932A32">
      <w:pPr>
        <w:pStyle w:val="Heading2"/>
      </w:pPr>
    </w:p>
    <w:p w14:paraId="637A779B" w14:textId="7A686009" w:rsidR="00B31E1F" w:rsidRPr="00642952" w:rsidRDefault="00203595" w:rsidP="00932A32">
      <w:pPr>
        <w:pStyle w:val="Heading2"/>
      </w:pPr>
      <w:bookmarkStart w:id="4" w:name="_Toc224553229"/>
      <w:r w:rsidRPr="00642952">
        <w:lastRenderedPageBreak/>
        <w:t xml:space="preserve">Executive </w:t>
      </w:r>
      <w:r w:rsidR="006A4EA1" w:rsidRPr="00642952">
        <w:t>s</w:t>
      </w:r>
      <w:r w:rsidRPr="00642952">
        <w:t>ummary</w:t>
      </w:r>
      <w:bookmarkEnd w:id="3"/>
      <w:bookmarkEnd w:id="4"/>
    </w:p>
    <w:p w14:paraId="514CB8E2" w14:textId="77777777" w:rsidR="000409C1" w:rsidRPr="00642952"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The Agriculture and Horticulture Development Board (AHDB) commissioned Europe Economics to estimate the plant-level costs and practical implications of converting from high-concentration CO</w:t>
      </w:r>
      <w:r w:rsidRPr="00642952">
        <w:rPr>
          <w:rFonts w:ascii="Cambria Math" w:eastAsia="Gill Sans MT" w:hAnsi="Cambria Math" w:cs="Cambria Math"/>
          <w:color w:val="38383A"/>
          <w:szCs w:val="60"/>
        </w:rPr>
        <w:t>₂</w:t>
      </w:r>
      <w:r w:rsidRPr="00642952">
        <w:rPr>
          <w:rFonts w:asciiTheme="majorHAnsi" w:eastAsia="Gill Sans MT" w:hAnsiTheme="majorHAnsi" w:cstheme="majorHAnsi"/>
          <w:color w:val="38383A"/>
          <w:szCs w:val="60"/>
        </w:rPr>
        <w:t xml:space="preserve"> to alternative systems for stunning and killing pigs in a commercial UK pig processing facility. The work is intended to inform discussions on potential regulatory or market-led changes to stunning practices by providing quantitative estimates of per-pig costs under different technological options. </w:t>
      </w:r>
    </w:p>
    <w:p w14:paraId="2C4E6883" w14:textId="77777777" w:rsidR="00CD6165"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The study does not seek to make a recommendation on whether CO</w:t>
      </w:r>
      <w:r w:rsidRPr="00642952">
        <w:rPr>
          <w:rFonts w:ascii="Cambria Math" w:eastAsia="Gill Sans MT" w:hAnsi="Cambria Math" w:cs="Cambria Math"/>
          <w:color w:val="38383A"/>
          <w:szCs w:val="60"/>
        </w:rPr>
        <w:t>₂</w:t>
      </w:r>
      <w:r w:rsidRPr="00642952">
        <w:rPr>
          <w:rFonts w:asciiTheme="majorHAnsi" w:eastAsia="Gill Sans MT" w:hAnsiTheme="majorHAnsi" w:cstheme="majorHAnsi"/>
          <w:color w:val="38383A"/>
          <w:szCs w:val="60"/>
        </w:rPr>
        <w:t xml:space="preserve"> should be replaced. Instead, it quantifies the cost implications of alternative systems, alongside associated operational and market impacts, and highlights key uncertainties and practical constraints that will shape feasibility and how costs are distributed.</w:t>
      </w:r>
    </w:p>
    <w:p w14:paraId="075D8E5F" w14:textId="07859FC1" w:rsidR="000409C1" w:rsidRPr="00642952"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 xml:space="preserve">While animal welfare considerations and stakeholder views are noted, the report does not undertake an independent welfare assessment or seek to reach conclusions on comparative welfare outcomes. It does, however, reflect a consistent view from stakeholders that welfare must be appraised across the entire stunning pathway, from lairage and pre-stun handling through movement along the raceway and restraint up until the point of loss of consciousness, rather than focusing solely on the induction phase. </w:t>
      </w:r>
    </w:p>
    <w:p w14:paraId="2B2B84F1" w14:textId="77777777" w:rsidR="000409C1" w:rsidRPr="00642952"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 xml:space="preserve">This whole-pathway perspective is particularly relevant for electrical stunning systems. The report highlights that welfare outcomes under electrical systems depend heavily on calm handling, single-file movement and reliable restraint at commercial speeds. Stakeholders expressed concern about the practicality of sustaining these conditions at scale without frequent reliance on movement aids such as electric goads, despite regulatory and welfare guidance seeking to minimise or eliminate such tools. They also highlighted risks associated with miss-stuns, higher labour intensity, increased space requirements and a greater dependence on operator skill and consistency. Evidence from the literature also indicates electrical stunning has higher rates of blood-spotting, with associated commercial consequences. </w:t>
      </w:r>
    </w:p>
    <w:p w14:paraId="67F4CCFC" w14:textId="77777777" w:rsidR="007A0656"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The report also identifies substantial uncertainty and first-mover risk associated with inert gas alternatives. No pig processing facility currently operates an argon stunning system at full commercial scale under UK stun-to-kill requirements. As a result, any early adopter would face uncertainty over achievable throughput, reliability, operating parameters, staff safety and animal welfare outcomes in real-world conditions.</w:t>
      </w:r>
    </w:p>
    <w:p w14:paraId="3F97CE65" w14:textId="49C3648A" w:rsidR="000409C1" w:rsidRPr="00642952"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 xml:space="preserve">In addition, a large-scale shift to argon could introduce new supply-chain risks, including uncertainty over availability, pricing and resilience, which could have implications for operational continuity and animal welfare if disruption occurs.  </w:t>
      </w:r>
    </w:p>
    <w:p w14:paraId="3DD5BF0D" w14:textId="1139392D" w:rsidR="000409C1" w:rsidRPr="00642952" w:rsidRDefault="000409C1" w:rsidP="000409C1">
      <w:pPr>
        <w:spacing w:after="120" w:line="264" w:lineRule="auto"/>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These technical and operational uncertainties are compounded by transition risks. Installation and commissioning of alternative stunning systems would likely require multi-week periods of reduced output or shutdown, creating pressure to divert pigs to other processing sites, with associated haulage, scheduling and animal welfare implications. Stakeholders emphasised that the risks associated with transitioning away from CO</w:t>
      </w:r>
      <w:r w:rsidRPr="00642952">
        <w:rPr>
          <w:rFonts w:asciiTheme="majorHAnsi" w:eastAsia="Gill Sans MT" w:hAnsiTheme="majorHAnsi" w:cstheme="majorHAnsi"/>
          <w:color w:val="38383A"/>
          <w:szCs w:val="60"/>
          <w:vertAlign w:val="subscript"/>
        </w:rPr>
        <w:t>2</w:t>
      </w:r>
      <w:r w:rsidRPr="00642952">
        <w:rPr>
          <w:rFonts w:asciiTheme="majorHAnsi" w:eastAsia="Gill Sans MT" w:hAnsiTheme="majorHAnsi" w:cstheme="majorHAnsi"/>
          <w:color w:val="38383A"/>
          <w:szCs w:val="60"/>
        </w:rPr>
        <w:t xml:space="preserve"> to alternative systems would vary widely between individual plants, be largely unavoidable in practice and may result in costs as significant as the long-term differences in operating costs.</w:t>
      </w:r>
    </w:p>
    <w:p w14:paraId="4C0F1EB4" w14:textId="77777777" w:rsidR="000409C1" w:rsidRPr="00642952" w:rsidRDefault="000409C1" w:rsidP="000409C1">
      <w:pPr>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The report also highlights several wider impacts that are not fully captured in per-pig cost estimates. These include site-specific layout constraints, downstream capacity limitations, retailer approval processes and potential effects on exports and international competitiveness. Higher processing costs are expected, over time, to place upward pressure on UK pork prices, increasing the substitution risk towards cheaper proteins and imports, particularly if overseas competitors continue to use lower-cost CO</w:t>
      </w:r>
      <w:r w:rsidRPr="00642952">
        <w:rPr>
          <w:rFonts w:asciiTheme="majorHAnsi" w:eastAsia="Gill Sans MT" w:hAnsiTheme="majorHAnsi" w:cstheme="majorHAnsi"/>
          <w:color w:val="38383A"/>
          <w:szCs w:val="60"/>
          <w:vertAlign w:val="subscript"/>
        </w:rPr>
        <w:t xml:space="preserve">2 </w:t>
      </w:r>
      <w:r w:rsidRPr="00642952">
        <w:rPr>
          <w:rFonts w:asciiTheme="majorHAnsi" w:eastAsia="Gill Sans MT" w:hAnsiTheme="majorHAnsi" w:cstheme="majorHAnsi"/>
          <w:color w:val="38383A"/>
          <w:szCs w:val="60"/>
        </w:rPr>
        <w:t>stunning systems.</w:t>
      </w:r>
    </w:p>
    <w:p w14:paraId="7B19B614" w14:textId="5B532938" w:rsidR="000409C1" w:rsidRPr="00642952" w:rsidRDefault="000409C1" w:rsidP="000409C1">
      <w:pPr>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Taken together, the report findings suggest that moving away from high-concentration CO</w:t>
      </w:r>
      <w:r w:rsidRPr="00642952">
        <w:rPr>
          <w:rFonts w:asciiTheme="majorHAnsi" w:eastAsia="Gill Sans MT" w:hAnsiTheme="majorHAnsi" w:cstheme="majorHAnsi"/>
          <w:color w:val="38383A"/>
          <w:szCs w:val="60"/>
          <w:vertAlign w:val="subscript"/>
        </w:rPr>
        <w:t>2</w:t>
      </w:r>
      <w:r w:rsidRPr="00642952">
        <w:rPr>
          <w:rFonts w:asciiTheme="majorHAnsi" w:eastAsia="Gill Sans MT" w:hAnsiTheme="majorHAnsi" w:cstheme="majorHAnsi"/>
          <w:color w:val="38383A"/>
          <w:szCs w:val="60"/>
        </w:rPr>
        <w:t xml:space="preserve"> stunning would entail not only substantial cost increases but also significant technical, operational and market risks. These include uncertainty over the commercial viability of alternatives at scale, exposure to transition and supply-chain </w:t>
      </w:r>
      <w:r w:rsidRPr="00642952">
        <w:rPr>
          <w:rFonts w:asciiTheme="majorHAnsi" w:eastAsia="Gill Sans MT" w:hAnsiTheme="majorHAnsi" w:cstheme="majorHAnsi"/>
          <w:color w:val="38383A"/>
          <w:szCs w:val="60"/>
        </w:rPr>
        <w:lastRenderedPageBreak/>
        <w:t>disruption, and potential unintended welfare and quality consequences if systems cannot be reliably operated at commercial throughput rates.</w:t>
      </w:r>
    </w:p>
    <w:p w14:paraId="546FEA06" w14:textId="77777777" w:rsidR="009F4917" w:rsidRDefault="000409C1" w:rsidP="000409C1">
      <w:pPr>
        <w:rPr>
          <w:rFonts w:asciiTheme="majorHAnsi" w:eastAsia="Gill Sans MT" w:hAnsiTheme="majorHAnsi" w:cstheme="majorHAnsi"/>
          <w:color w:val="38383A"/>
          <w:szCs w:val="60"/>
        </w:rPr>
      </w:pPr>
      <w:r w:rsidRPr="00642952">
        <w:rPr>
          <w:rFonts w:asciiTheme="majorHAnsi" w:eastAsia="Gill Sans MT" w:hAnsiTheme="majorHAnsi" w:cstheme="majorHAnsi"/>
          <w:color w:val="38383A"/>
          <w:szCs w:val="60"/>
        </w:rPr>
        <w:t>Within the evidence-based ranges tested, electrical stunning is generally the lowest-cost alternative modelled, while argon options are more expensive. However, all alternatives remain materially above the current CO</w:t>
      </w:r>
      <w:r w:rsidRPr="00642952">
        <w:rPr>
          <w:rFonts w:asciiTheme="majorHAnsi" w:eastAsia="Gill Sans MT" w:hAnsiTheme="majorHAnsi" w:cstheme="majorHAnsi"/>
          <w:color w:val="38383A"/>
          <w:szCs w:val="60"/>
          <w:vertAlign w:val="subscript"/>
        </w:rPr>
        <w:t>2</w:t>
      </w:r>
      <w:r w:rsidRPr="00642952">
        <w:rPr>
          <w:rFonts w:asciiTheme="majorHAnsi" w:eastAsia="Gill Sans MT" w:hAnsiTheme="majorHAnsi" w:cstheme="majorHAnsi"/>
          <w:color w:val="38383A"/>
          <w:szCs w:val="60"/>
        </w:rPr>
        <w:t xml:space="preserve"> baseline, and their practical feasibility depends on factors that vary widely between individual plants and</w:t>
      </w:r>
      <w:r w:rsidR="00D346A4" w:rsidRPr="00642952">
        <w:rPr>
          <w:rFonts w:asciiTheme="majorHAnsi" w:eastAsia="Gill Sans MT" w:hAnsiTheme="majorHAnsi" w:cstheme="majorHAnsi"/>
          <w:color w:val="38383A"/>
          <w:szCs w:val="60"/>
        </w:rPr>
        <w:t xml:space="preserve"> are</w:t>
      </w:r>
      <w:r w:rsidRPr="00642952">
        <w:rPr>
          <w:rFonts w:asciiTheme="majorHAnsi" w:eastAsia="Gill Sans MT" w:hAnsiTheme="majorHAnsi" w:cstheme="majorHAnsi"/>
          <w:color w:val="38383A"/>
          <w:szCs w:val="60"/>
        </w:rPr>
        <w:t xml:space="preserve"> not fully captured in modelled costs.</w:t>
      </w:r>
    </w:p>
    <w:p w14:paraId="3EC2C6AD" w14:textId="27CF3D50" w:rsidR="000409C1" w:rsidRPr="00642952" w:rsidRDefault="000409C1" w:rsidP="000409C1">
      <w:pPr>
        <w:rPr>
          <w:rFonts w:asciiTheme="majorHAnsi" w:hAnsiTheme="majorHAnsi" w:cstheme="majorHAnsi"/>
        </w:rPr>
      </w:pPr>
      <w:r w:rsidRPr="00642952">
        <w:rPr>
          <w:rFonts w:asciiTheme="majorHAnsi" w:eastAsia="Gill Sans MT" w:hAnsiTheme="majorHAnsi" w:cstheme="majorHAnsi"/>
          <w:color w:val="38383A"/>
          <w:szCs w:val="60"/>
        </w:rPr>
        <w:t>The findings underline the importance of further commercial-scale validation, supply-chain assessment and coordinated transition planning before any large-scale shift away from CO</w:t>
      </w:r>
      <w:r w:rsidRPr="00642952">
        <w:rPr>
          <w:rFonts w:asciiTheme="majorHAnsi" w:eastAsia="Gill Sans MT" w:hAnsiTheme="majorHAnsi" w:cstheme="majorHAnsi"/>
          <w:color w:val="38383A"/>
          <w:szCs w:val="60"/>
          <w:vertAlign w:val="subscript"/>
        </w:rPr>
        <w:t>2</w:t>
      </w:r>
      <w:r w:rsidRPr="00642952">
        <w:rPr>
          <w:rFonts w:asciiTheme="majorHAnsi" w:eastAsia="Gill Sans MT" w:hAnsiTheme="majorHAnsi" w:cstheme="majorHAnsi"/>
          <w:color w:val="38383A"/>
          <w:szCs w:val="60"/>
        </w:rPr>
        <w:t xml:space="preserve"> could be considered.</w:t>
      </w:r>
    </w:p>
    <w:p w14:paraId="5B445AE6" w14:textId="19018613" w:rsidR="00A241D4" w:rsidRPr="00642952" w:rsidRDefault="00B808B0" w:rsidP="00A241D4">
      <w:pPr>
        <w:pStyle w:val="Heading3"/>
      </w:pPr>
      <w:bookmarkStart w:id="5" w:name="_Toc216280649"/>
      <w:bookmarkStart w:id="6" w:name="_Toc224553230"/>
      <w:r w:rsidRPr="00642952">
        <w:t>Methodology and evidence base</w:t>
      </w:r>
      <w:bookmarkEnd w:id="5"/>
      <w:bookmarkEnd w:id="6"/>
    </w:p>
    <w:p w14:paraId="74FE44B4" w14:textId="77777777" w:rsidR="00C07F56" w:rsidRPr="00642952" w:rsidRDefault="00C07F56" w:rsidP="00C07F56">
      <w:r w:rsidRPr="00642952">
        <w:t>The analysis is based on a bottom-up cost model for a notional high-throughput UK site currently using a CO</w:t>
      </w:r>
      <w:r w:rsidRPr="00642952">
        <w:rPr>
          <w:rFonts w:ascii="Cambria Math" w:hAnsi="Cambria Math" w:cs="Cambria Math"/>
        </w:rPr>
        <w:t>₂</w:t>
      </w:r>
      <w:r w:rsidRPr="00642952">
        <w:t xml:space="preserve"> system. The model compares three alternatives to this baseline: </w:t>
      </w:r>
    </w:p>
    <w:p w14:paraId="599E923E" w14:textId="20613A30" w:rsidR="00C07F56" w:rsidRPr="00642952" w:rsidRDefault="007D6852" w:rsidP="000013AD">
      <w:pPr>
        <w:pStyle w:val="ListParagraph"/>
        <w:numPr>
          <w:ilvl w:val="0"/>
          <w:numId w:val="21"/>
        </w:numPr>
      </w:pPr>
      <w:r w:rsidRPr="00642952">
        <w:t>A</w:t>
      </w:r>
      <w:r w:rsidR="00C07F56" w:rsidRPr="00642952">
        <w:t xml:space="preserve">rgon with added capacity (e.g. a second kill line) </w:t>
      </w:r>
    </w:p>
    <w:p w14:paraId="335D413F" w14:textId="4D020C0B" w:rsidR="00C07F56" w:rsidRPr="00642952" w:rsidRDefault="00664485" w:rsidP="000013AD">
      <w:pPr>
        <w:pStyle w:val="ListParagraph"/>
        <w:numPr>
          <w:ilvl w:val="0"/>
          <w:numId w:val="21"/>
        </w:numPr>
      </w:pPr>
      <w:r w:rsidRPr="00642952">
        <w:t xml:space="preserve">Argon </w:t>
      </w:r>
      <w:r w:rsidR="00C07F56" w:rsidRPr="00642952">
        <w:t xml:space="preserve">with extended operating hours </w:t>
      </w:r>
    </w:p>
    <w:p w14:paraId="1B9CD6DF" w14:textId="03D0D1C5" w:rsidR="00C07F56" w:rsidRPr="00642952" w:rsidRDefault="00664485" w:rsidP="000013AD">
      <w:pPr>
        <w:pStyle w:val="ListParagraph"/>
        <w:numPr>
          <w:ilvl w:val="0"/>
          <w:numId w:val="21"/>
        </w:numPr>
      </w:pPr>
      <w:r w:rsidRPr="00642952">
        <w:t xml:space="preserve">Electrical </w:t>
      </w:r>
      <w:r w:rsidR="00C07F56" w:rsidRPr="00642952">
        <w:t xml:space="preserve">stunning with appropriate pre-stun handling and restraint </w:t>
      </w:r>
    </w:p>
    <w:p w14:paraId="6AEBD957" w14:textId="77777777" w:rsidR="00C07F56" w:rsidRPr="00642952" w:rsidRDefault="00C07F56" w:rsidP="00C07F56">
      <w:r w:rsidRPr="00642952">
        <w:t>For each option, the model estimates per-pig costs in 2024 prices, including labour, gas and electricity, water, maintenance and annualised capital costs.</w:t>
      </w:r>
    </w:p>
    <w:p w14:paraId="6A41CA13" w14:textId="77777777" w:rsidR="007E050E" w:rsidRDefault="00C07F56" w:rsidP="00C07F56">
      <w:r w:rsidRPr="00642952">
        <w:t xml:space="preserve">Model inputs are drawn from three main sources. </w:t>
      </w:r>
    </w:p>
    <w:p w14:paraId="35A4FB3D" w14:textId="77777777" w:rsidR="007E050E" w:rsidRDefault="00C07F56" w:rsidP="00C07F56">
      <w:r w:rsidRPr="00642952">
        <w:t>First, structured interviews and a short data request to major multi-site UK pig processors provided information on current CO</w:t>
      </w:r>
      <w:r w:rsidRPr="00642952">
        <w:rPr>
          <w:rFonts w:ascii="Cambria Math" w:hAnsi="Cambria Math" w:cs="Cambria Math"/>
        </w:rPr>
        <w:t>₂</w:t>
      </w:r>
      <w:r w:rsidRPr="00642952">
        <w:t xml:space="preserve"> operations, indicative capital envelopes, and expectations for how costs and throughput might change under alternative systems.</w:t>
      </w:r>
    </w:p>
    <w:p w14:paraId="0DA11305" w14:textId="77777777" w:rsidR="007E050E" w:rsidRDefault="00C07F56" w:rsidP="00C07F56">
      <w:r w:rsidRPr="00642952">
        <w:t>Second, a review of the recent technical literature – particularly the EU Reference Centre for Animal Welfare’s PigStun project – provided evidence on throughput, gas usage, energy consumption and capital requirements for argon and electrical systems, which was scaled to UK conditions where necessary.</w:t>
      </w:r>
    </w:p>
    <w:p w14:paraId="74FDBE83" w14:textId="60E00808" w:rsidR="00C07F56" w:rsidRPr="00642952" w:rsidRDefault="00C07F56" w:rsidP="00C07F56">
      <w:r w:rsidRPr="00642952">
        <w:t>Third, stakeholder feedback was used to test the plausibility of model assumptions and to define optimistic, central and pessimistic parameter ranges. Central results represent Europe Economics’ best estimates within the available evidence, while optimistic and pessimistic scenarios illustrate how rankings might change under more favourable or more challenging conditions.</w:t>
      </w:r>
    </w:p>
    <w:p w14:paraId="75FAAA65" w14:textId="3C598BA6" w:rsidR="00924792" w:rsidRDefault="00C07F56" w:rsidP="00C07F56">
      <w:r w:rsidRPr="00642952">
        <w:t>We note that a key caveat to the analysis of argon systems is that, to our knowledge, no party has ever carried out a trial of operating a pig processing facility using argon at a commercial scale. We would recommend that such a trial is carried out to verify the feasibility of an argon system in a commercial setting.</w:t>
      </w:r>
    </w:p>
    <w:p w14:paraId="40EB55D3" w14:textId="77777777" w:rsidR="00924792" w:rsidRDefault="00924792" w:rsidP="00C07F56"/>
    <w:p w14:paraId="08B56B0F" w14:textId="77777777" w:rsidR="00924792" w:rsidRDefault="00924792" w:rsidP="00C07F56"/>
    <w:p w14:paraId="13FF11E6" w14:textId="77777777" w:rsidR="00924792" w:rsidRDefault="00924792" w:rsidP="00C07F56"/>
    <w:p w14:paraId="1963412B" w14:textId="77777777" w:rsidR="00924792" w:rsidRDefault="00924792" w:rsidP="00C07F56"/>
    <w:p w14:paraId="5ECB66A9" w14:textId="77777777" w:rsidR="00924792" w:rsidRDefault="00924792" w:rsidP="00C07F56"/>
    <w:p w14:paraId="470DC4FC" w14:textId="77777777" w:rsidR="00924792" w:rsidRDefault="00924792" w:rsidP="00C07F56"/>
    <w:p w14:paraId="26DE29D5" w14:textId="77777777" w:rsidR="00924792" w:rsidRDefault="00924792" w:rsidP="00C07F56"/>
    <w:p w14:paraId="0B6A5395" w14:textId="77777777" w:rsidR="00924792" w:rsidRPr="00642952" w:rsidRDefault="00924792" w:rsidP="00C07F56"/>
    <w:p w14:paraId="461D8D72" w14:textId="7902AE98" w:rsidR="006900F5" w:rsidRPr="00642952" w:rsidRDefault="00C9362F" w:rsidP="009107EF">
      <w:pPr>
        <w:pStyle w:val="Heading3"/>
      </w:pPr>
      <w:bookmarkStart w:id="7" w:name="_Toc216280650"/>
      <w:bookmarkStart w:id="8" w:name="_Toc224553231"/>
      <w:r w:rsidRPr="00642952">
        <w:lastRenderedPageBreak/>
        <w:t>Results</w:t>
      </w:r>
      <w:bookmarkEnd w:id="7"/>
      <w:bookmarkEnd w:id="8"/>
    </w:p>
    <w:p w14:paraId="60A9913A" w14:textId="1FBF90E8" w:rsidR="007770C8" w:rsidRDefault="007770C8" w:rsidP="007770C8">
      <w:r w:rsidRPr="00642952">
        <w:t xml:space="preserve">The central results of our model are set out in </w:t>
      </w:r>
      <w:r w:rsidR="00791B14">
        <w:t>Figure 0.1</w:t>
      </w:r>
      <w:r w:rsidRPr="00642952">
        <w:t xml:space="preserve">. </w:t>
      </w:r>
    </w:p>
    <w:p w14:paraId="1DEF3C15" w14:textId="2ADCD68C" w:rsidR="007770C8" w:rsidRPr="00642952" w:rsidRDefault="007770C8" w:rsidP="007770C8">
      <w:pPr>
        <w:rPr>
          <w:b/>
          <w:bCs/>
        </w:rPr>
      </w:pPr>
      <w:r w:rsidRPr="00642952">
        <w:rPr>
          <w:b/>
          <w:bCs/>
        </w:rPr>
        <w:t xml:space="preserve">Figure </w:t>
      </w:r>
      <w:r w:rsidR="00B428B2" w:rsidRPr="00642952">
        <w:rPr>
          <w:b/>
          <w:bCs/>
        </w:rPr>
        <w:fldChar w:fldCharType="begin"/>
      </w:r>
      <w:r w:rsidR="00B428B2" w:rsidRPr="00642952">
        <w:rPr>
          <w:b/>
          <w:bCs/>
        </w:rPr>
        <w:instrText>STYLEREF 1 \s</w:instrText>
      </w:r>
      <w:r w:rsidR="00B428B2" w:rsidRPr="00642952">
        <w:rPr>
          <w:b/>
          <w:bCs/>
        </w:rPr>
        <w:fldChar w:fldCharType="separate"/>
      </w:r>
      <w:r w:rsidR="00B428B2" w:rsidRPr="00642952">
        <w:rPr>
          <w:b/>
          <w:bCs/>
        </w:rPr>
        <w:t>0</w:t>
      </w:r>
      <w:r w:rsidR="00B428B2" w:rsidRPr="00642952">
        <w:rPr>
          <w:b/>
          <w:bCs/>
        </w:rPr>
        <w:fldChar w:fldCharType="end"/>
      </w:r>
      <w:r w:rsidR="00B428B2" w:rsidRPr="00642952">
        <w:rPr>
          <w:b/>
          <w:bCs/>
        </w:rPr>
        <w:t>.</w:t>
      </w:r>
      <w:r w:rsidR="00B428B2" w:rsidRPr="00642952">
        <w:rPr>
          <w:b/>
          <w:bCs/>
        </w:rPr>
        <w:fldChar w:fldCharType="begin"/>
      </w:r>
      <w:r w:rsidR="00B428B2" w:rsidRPr="00642952">
        <w:rPr>
          <w:b/>
          <w:bCs/>
        </w:rPr>
        <w:instrText>SEQ Figure \* ARABIC \s 1</w:instrText>
      </w:r>
      <w:r w:rsidR="00B428B2" w:rsidRPr="00642952">
        <w:rPr>
          <w:b/>
          <w:bCs/>
        </w:rPr>
        <w:fldChar w:fldCharType="separate"/>
      </w:r>
      <w:r w:rsidR="00B428B2" w:rsidRPr="00642952">
        <w:rPr>
          <w:b/>
          <w:bCs/>
        </w:rPr>
        <w:t>1</w:t>
      </w:r>
      <w:r w:rsidR="00B428B2" w:rsidRPr="00642952">
        <w:rPr>
          <w:b/>
          <w:bCs/>
        </w:rPr>
        <w:fldChar w:fldCharType="end"/>
      </w:r>
      <w:r w:rsidR="00B428B2" w:rsidRPr="00642952">
        <w:rPr>
          <w:b/>
          <w:bCs/>
        </w:rPr>
        <w:t>: Central cost estimates for each stunning option (£/pig)</w:t>
      </w:r>
    </w:p>
    <w:p w14:paraId="352FD655" w14:textId="2AD2DE16" w:rsidR="006900F5" w:rsidRPr="00642952" w:rsidRDefault="00944A78" w:rsidP="006900F5">
      <w:r w:rsidRPr="00642952">
        <w:rPr>
          <w:noProof/>
        </w:rPr>
        <w:drawing>
          <wp:inline distT="0" distB="0" distL="0" distR="0" wp14:anchorId="769EB5F3" wp14:editId="199E3C77">
            <wp:extent cx="4145915" cy="2627630"/>
            <wp:effectExtent l="0" t="0" r="6985" b="1270"/>
            <wp:docPr id="807152335" name="Picture 2" descr="Bar chart comparing cost per pig (£/pig) across four methods of stunning: CO2 baseline, argon with added capacity, argon with no added capacity, and electrical stunning. Argon with added capacity shows highest cost near £1.50, followed by Argon with no added capacity around £1.35, Electrical stunning at approximately £1.10, and CO2 baseline lowest at about £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52335" name="Picture 2" descr="Bar chart comparing cost per pig (£/pig) across four methods of stunning: CO2 baseline, argon with added capacity, argon with no added capacity, and electrical stunning. Argon with added capacity shows highest cost near £1.50, followed by Argon with no added capacity around £1.35, Electrical stunning at approximately £1.10, and CO2 baseline lowest at about £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5915" cy="2627630"/>
                    </a:xfrm>
                    <a:prstGeom prst="rect">
                      <a:avLst/>
                    </a:prstGeom>
                    <a:noFill/>
                  </pic:spPr>
                </pic:pic>
              </a:graphicData>
            </a:graphic>
          </wp:inline>
        </w:drawing>
      </w:r>
    </w:p>
    <w:p w14:paraId="59208FFC" w14:textId="77777777" w:rsidR="004A17F2" w:rsidRPr="00642952" w:rsidRDefault="004A17F2" w:rsidP="004A17F2">
      <w:pPr>
        <w:pStyle w:val="paragraph"/>
        <w:spacing w:before="0" w:beforeAutospacing="0" w:after="0" w:afterAutospacing="0"/>
        <w:textAlignment w:val="baseline"/>
        <w:rPr>
          <w:rFonts w:ascii="Segoe UI" w:hAnsi="Segoe UI" w:cs="Segoe UI"/>
          <w:color w:val="5F5F5F"/>
          <w:sz w:val="18"/>
          <w:szCs w:val="18"/>
        </w:rPr>
      </w:pPr>
      <w:r w:rsidRPr="00642952">
        <w:rPr>
          <w:rStyle w:val="normaltextrun"/>
          <w:rFonts w:ascii="Arial" w:hAnsi="Arial"/>
          <w:color w:val="5F5F5F"/>
          <w:sz w:val="20"/>
          <w:szCs w:val="20"/>
        </w:rPr>
        <w:t>Source: Europe Economics analysis</w:t>
      </w:r>
      <w:r w:rsidRPr="00642952">
        <w:rPr>
          <w:rStyle w:val="eop"/>
          <w:rFonts w:ascii="Arial" w:eastAsiaTheme="majorEastAsia" w:hAnsi="Arial" w:cs="Arial"/>
          <w:color w:val="5F5F5F"/>
          <w:sz w:val="20"/>
        </w:rPr>
        <w:t> </w:t>
      </w:r>
    </w:p>
    <w:p w14:paraId="51409B53" w14:textId="77777777" w:rsidR="004A17F2" w:rsidRPr="00642952" w:rsidRDefault="004A17F2" w:rsidP="004A17F2">
      <w:pPr>
        <w:pStyle w:val="paragraph"/>
        <w:spacing w:before="0" w:beforeAutospacing="0" w:after="0" w:afterAutospacing="0"/>
        <w:textAlignment w:val="baseline"/>
        <w:rPr>
          <w:rFonts w:ascii="Segoe UI" w:hAnsi="Segoe UI" w:cs="Segoe UI"/>
          <w:color w:val="5F5F5F"/>
          <w:sz w:val="18"/>
          <w:szCs w:val="18"/>
        </w:rPr>
      </w:pPr>
      <w:r w:rsidRPr="00642952">
        <w:rPr>
          <w:rStyle w:val="eop"/>
          <w:rFonts w:ascii="Arial" w:eastAsiaTheme="majorEastAsia" w:hAnsi="Arial" w:cs="Arial"/>
          <w:color w:val="5F5F5F"/>
          <w:sz w:val="20"/>
        </w:rPr>
        <w:t> </w:t>
      </w:r>
    </w:p>
    <w:p w14:paraId="6D29591D" w14:textId="77777777" w:rsidR="00430707" w:rsidRDefault="004A17F2" w:rsidP="004A17F2">
      <w:pPr>
        <w:pStyle w:val="paragraph"/>
        <w:spacing w:before="0" w:beforeAutospacing="0" w:after="0" w:afterAutospacing="0"/>
        <w:textAlignment w:val="baseline"/>
        <w:rPr>
          <w:rStyle w:val="normaltextrun"/>
          <w:rFonts w:ascii="Arial" w:hAnsi="Arial"/>
          <w:color w:val="5F5F5F"/>
          <w:sz w:val="20"/>
          <w:szCs w:val="20"/>
        </w:rPr>
      </w:pPr>
      <w:r w:rsidRPr="00642952">
        <w:rPr>
          <w:rStyle w:val="normaltextrun"/>
          <w:rFonts w:ascii="Arial" w:hAnsi="Arial"/>
          <w:color w:val="5F5F5F"/>
          <w:sz w:val="20"/>
          <w:szCs w:val="20"/>
        </w:rPr>
        <w:t>Under central assumptions, all alternatives are materially more expensive than the baseline.</w:t>
      </w:r>
    </w:p>
    <w:p w14:paraId="52DA286B" w14:textId="77777777" w:rsidR="00430707" w:rsidRDefault="00430707" w:rsidP="004A17F2">
      <w:pPr>
        <w:pStyle w:val="paragraph"/>
        <w:spacing w:before="0" w:beforeAutospacing="0" w:after="0" w:afterAutospacing="0"/>
        <w:textAlignment w:val="baseline"/>
        <w:rPr>
          <w:rStyle w:val="normaltextrun"/>
          <w:rFonts w:ascii="Arial" w:hAnsi="Arial"/>
          <w:color w:val="5F5F5F"/>
          <w:sz w:val="20"/>
          <w:szCs w:val="20"/>
        </w:rPr>
      </w:pPr>
    </w:p>
    <w:p w14:paraId="6F4E45AD" w14:textId="6CEB3238" w:rsidR="00F71E5D" w:rsidRPr="00642952" w:rsidRDefault="004A17F2" w:rsidP="004A17F2">
      <w:pPr>
        <w:pStyle w:val="paragraph"/>
        <w:spacing w:before="0" w:beforeAutospacing="0" w:after="0" w:afterAutospacing="0"/>
        <w:textAlignment w:val="baseline"/>
        <w:rPr>
          <w:rFonts w:ascii="Segoe UI" w:hAnsi="Segoe UI" w:cs="Segoe UI"/>
          <w:color w:val="5F5F5F"/>
          <w:sz w:val="18"/>
          <w:szCs w:val="18"/>
        </w:rPr>
      </w:pPr>
      <w:r w:rsidRPr="00642952">
        <w:rPr>
          <w:rStyle w:val="normaltextrun"/>
          <w:rFonts w:ascii="Arial" w:hAnsi="Arial"/>
          <w:color w:val="5F5F5F"/>
          <w:sz w:val="20"/>
          <w:szCs w:val="20"/>
        </w:rPr>
        <w:t xml:space="preserve">Argon with added capacity is £1.49 per pig, </w:t>
      </w:r>
      <w:r w:rsidR="007850D7" w:rsidRPr="00642952">
        <w:rPr>
          <w:rStyle w:val="normaltextrun"/>
          <w:rFonts w:ascii="Arial" w:hAnsi="Arial"/>
          <w:color w:val="5F5F5F"/>
          <w:sz w:val="20"/>
          <w:szCs w:val="20"/>
        </w:rPr>
        <w:t>a</w:t>
      </w:r>
      <w:r w:rsidRPr="00642952">
        <w:rPr>
          <w:rStyle w:val="normaltextrun"/>
          <w:rFonts w:ascii="Arial" w:hAnsi="Arial"/>
          <w:color w:val="5F5F5F"/>
          <w:sz w:val="20"/>
          <w:szCs w:val="20"/>
        </w:rPr>
        <w:t xml:space="preserve">rgon without added capacity is £1.36 per pig and </w:t>
      </w:r>
      <w:r w:rsidR="007850D7" w:rsidRPr="00642952">
        <w:rPr>
          <w:rStyle w:val="normaltextrun"/>
          <w:rFonts w:ascii="Arial" w:hAnsi="Arial"/>
          <w:color w:val="5F5F5F"/>
          <w:sz w:val="20"/>
          <w:szCs w:val="20"/>
        </w:rPr>
        <w:t>e</w:t>
      </w:r>
      <w:r w:rsidRPr="00642952">
        <w:rPr>
          <w:rStyle w:val="normaltextrun"/>
          <w:rFonts w:ascii="Arial" w:hAnsi="Arial"/>
          <w:color w:val="5F5F5F"/>
          <w:sz w:val="20"/>
          <w:szCs w:val="20"/>
        </w:rPr>
        <w:t>lectrical</w:t>
      </w:r>
      <w:r w:rsidR="005E72E3" w:rsidRPr="00642952">
        <w:rPr>
          <w:rStyle w:val="normaltextrun"/>
          <w:rFonts w:ascii="Arial" w:hAnsi="Arial"/>
          <w:color w:val="5F5F5F"/>
          <w:sz w:val="20"/>
          <w:szCs w:val="20"/>
        </w:rPr>
        <w:t xml:space="preserve"> stunning</w:t>
      </w:r>
      <w:r w:rsidRPr="00642952">
        <w:rPr>
          <w:rStyle w:val="normaltextrun"/>
          <w:rFonts w:ascii="Arial" w:hAnsi="Arial"/>
          <w:color w:val="5F5F5F"/>
          <w:sz w:val="20"/>
          <w:szCs w:val="20"/>
        </w:rPr>
        <w:t xml:space="preserve"> is £1.11 per pig. These represent uplifts of 257</w:t>
      </w:r>
      <w:r w:rsidR="000C4CA2" w:rsidRPr="00642952">
        <w:rPr>
          <w:rStyle w:val="normaltextrun"/>
          <w:rFonts w:ascii="Arial" w:hAnsi="Arial"/>
          <w:color w:val="5F5F5F"/>
          <w:sz w:val="20"/>
          <w:szCs w:val="20"/>
        </w:rPr>
        <w:t>%</w:t>
      </w:r>
      <w:r w:rsidRPr="00642952">
        <w:rPr>
          <w:rStyle w:val="normaltextrun"/>
          <w:rFonts w:ascii="Arial" w:hAnsi="Arial"/>
          <w:color w:val="5F5F5F"/>
          <w:sz w:val="20"/>
          <w:szCs w:val="20"/>
        </w:rPr>
        <w:t>, 226</w:t>
      </w:r>
      <w:r w:rsidR="000C4CA2" w:rsidRPr="00642952">
        <w:rPr>
          <w:rStyle w:val="normaltextrun"/>
          <w:rFonts w:ascii="Arial" w:hAnsi="Arial"/>
          <w:color w:val="5F5F5F"/>
          <w:sz w:val="20"/>
          <w:szCs w:val="20"/>
        </w:rPr>
        <w:t>%</w:t>
      </w:r>
      <w:r w:rsidRPr="00642952">
        <w:rPr>
          <w:rStyle w:val="normaltextrun"/>
          <w:rFonts w:ascii="Arial" w:hAnsi="Arial"/>
          <w:color w:val="5F5F5F"/>
          <w:sz w:val="20"/>
          <w:szCs w:val="20"/>
        </w:rPr>
        <w:t xml:space="preserve"> and 165</w:t>
      </w:r>
      <w:r w:rsidR="000C4CA2" w:rsidRPr="00642952">
        <w:rPr>
          <w:rStyle w:val="normaltextrun"/>
          <w:rFonts w:ascii="Arial" w:hAnsi="Arial"/>
          <w:color w:val="5F5F5F"/>
          <w:sz w:val="20"/>
          <w:szCs w:val="20"/>
        </w:rPr>
        <w:t>%</w:t>
      </w:r>
      <w:r w:rsidR="005E72E3" w:rsidRPr="00642952">
        <w:rPr>
          <w:rStyle w:val="normaltextrun"/>
          <w:rFonts w:ascii="Arial" w:hAnsi="Arial"/>
          <w:color w:val="5F5F5F"/>
          <w:sz w:val="20"/>
          <w:szCs w:val="20"/>
        </w:rPr>
        <w:t>,</w:t>
      </w:r>
      <w:r w:rsidRPr="00642952">
        <w:rPr>
          <w:rStyle w:val="normaltextrun"/>
          <w:rFonts w:ascii="Arial" w:hAnsi="Arial"/>
          <w:color w:val="5F5F5F"/>
          <w:sz w:val="20"/>
          <w:szCs w:val="20"/>
        </w:rPr>
        <w:t xml:space="preserve"> respectively</w:t>
      </w:r>
      <w:r w:rsidR="005E72E3" w:rsidRPr="00642952">
        <w:rPr>
          <w:rStyle w:val="normaltextrun"/>
          <w:rFonts w:ascii="Arial" w:hAnsi="Arial"/>
          <w:color w:val="5F5F5F"/>
          <w:sz w:val="20"/>
          <w:szCs w:val="20"/>
        </w:rPr>
        <w:t>,</w:t>
      </w:r>
      <w:r w:rsidRPr="00642952">
        <w:rPr>
          <w:rStyle w:val="normaltextrun"/>
          <w:rFonts w:ascii="Arial" w:hAnsi="Arial"/>
          <w:color w:val="5F5F5F"/>
          <w:sz w:val="20"/>
          <w:szCs w:val="20"/>
        </w:rPr>
        <w:t> relative to CO</w:t>
      </w:r>
      <w:r w:rsidRPr="00642952">
        <w:rPr>
          <w:rStyle w:val="normaltextrun"/>
          <w:rFonts w:ascii="Cambria Math" w:hAnsi="Cambria Math" w:cs="Cambria Math"/>
          <w:color w:val="5F5F5F"/>
          <w:sz w:val="20"/>
          <w:szCs w:val="20"/>
        </w:rPr>
        <w:t>₂</w:t>
      </w:r>
      <w:r w:rsidRPr="00642952">
        <w:rPr>
          <w:rStyle w:val="normaltextrun"/>
          <w:rFonts w:ascii="Arial" w:hAnsi="Arial"/>
          <w:color w:val="5F5F5F"/>
          <w:sz w:val="20"/>
          <w:szCs w:val="20"/>
        </w:rPr>
        <w:t xml:space="preserve">, which costs </w:t>
      </w:r>
      <w:r w:rsidRPr="00642952">
        <w:rPr>
          <w:rStyle w:val="normaltextrun"/>
          <w:rFonts w:ascii="Arial" w:hAnsi="Arial" w:cs="Arial"/>
          <w:color w:val="5F5F5F"/>
          <w:sz w:val="20"/>
          <w:szCs w:val="20"/>
        </w:rPr>
        <w:t>£</w:t>
      </w:r>
      <w:r w:rsidRPr="00642952">
        <w:rPr>
          <w:rStyle w:val="normaltextrun"/>
          <w:rFonts w:ascii="Arial" w:hAnsi="Arial"/>
          <w:color w:val="5F5F5F"/>
          <w:sz w:val="20"/>
          <w:szCs w:val="20"/>
        </w:rPr>
        <w:t>0.42 per pig.</w:t>
      </w:r>
      <w:r w:rsidRPr="00642952">
        <w:rPr>
          <w:rStyle w:val="eop"/>
          <w:rFonts w:ascii="Arial" w:eastAsiaTheme="majorEastAsia" w:hAnsi="Arial" w:cs="Arial"/>
          <w:color w:val="5F5F5F"/>
          <w:sz w:val="20"/>
        </w:rPr>
        <w:t> </w:t>
      </w:r>
    </w:p>
    <w:p w14:paraId="1C2C4CF4" w14:textId="1EECE5B1" w:rsidR="001537F8" w:rsidRPr="00642952" w:rsidRDefault="001537F8" w:rsidP="009107EF">
      <w:pPr>
        <w:pStyle w:val="Heading3"/>
      </w:pPr>
      <w:bookmarkStart w:id="9" w:name="_Toc216280651"/>
      <w:bookmarkStart w:id="10" w:name="_Toc224553232"/>
      <w:r w:rsidRPr="00642952">
        <w:t>Wider impacts and unquantified costs</w:t>
      </w:r>
      <w:bookmarkEnd w:id="9"/>
      <w:bookmarkEnd w:id="10"/>
    </w:p>
    <w:p w14:paraId="42061DBB" w14:textId="77777777" w:rsidR="00430707" w:rsidRDefault="000B6A9D" w:rsidP="000B6A9D">
      <w:r w:rsidRPr="00642952">
        <w:t>The model focuses on steady-state per-pig costs for stunning and immediate post-stun operations at a single representative site, holding annual pig numbers constant.</w:t>
      </w:r>
    </w:p>
    <w:p w14:paraId="7AEB5AEA" w14:textId="7D22FB0D" w:rsidR="000B6A9D" w:rsidRPr="00642952" w:rsidRDefault="000B6A9D" w:rsidP="000B6A9D">
      <w:r w:rsidRPr="00642952">
        <w:t>Several important wider impacts are discussed qualitatively but are not quantified in the per-pig estimates because robust data are not available or because the effects depend on sector-wide dynamics rather than a single plant. These include:</w:t>
      </w:r>
    </w:p>
    <w:p w14:paraId="7E53240D" w14:textId="15F28E53" w:rsidR="00C546FA" w:rsidRPr="00642952" w:rsidRDefault="00C546FA" w:rsidP="000013AD">
      <w:pPr>
        <w:pStyle w:val="ListParagraph"/>
        <w:numPr>
          <w:ilvl w:val="0"/>
          <w:numId w:val="22"/>
        </w:numPr>
      </w:pPr>
      <w:r w:rsidRPr="00642952">
        <w:rPr>
          <w:b/>
          <w:bCs/>
        </w:rPr>
        <w:t>Technological and first-mover risks</w:t>
      </w:r>
      <w:r w:rsidRPr="00642952">
        <w:t xml:space="preserve"> </w:t>
      </w:r>
      <w:r w:rsidR="00DE66BF" w:rsidRPr="00642952">
        <w:t>–</w:t>
      </w:r>
      <w:r w:rsidRPr="00642952">
        <w:t xml:space="preserve"> No plant currently operates argon stunning at full commercial scale with stun-to-kill. Early adopters would face uncertainty over long-run performance, reliability, maintenance needs, gas consumption and welfare outcomes under UK conditions, as well as the risk that standards or preferred technologies change again after significant capital has been committed. These technology and policy risks are material for investment decisions but are not quantified in the model.</w:t>
      </w:r>
    </w:p>
    <w:p w14:paraId="569B0C18" w14:textId="154AC2EC" w:rsidR="00C546FA" w:rsidRPr="00642952" w:rsidRDefault="00C546FA" w:rsidP="000013AD">
      <w:pPr>
        <w:pStyle w:val="ListParagraph"/>
        <w:numPr>
          <w:ilvl w:val="0"/>
          <w:numId w:val="22"/>
        </w:numPr>
      </w:pPr>
      <w:r w:rsidRPr="00642952">
        <w:rPr>
          <w:b/>
          <w:bCs/>
        </w:rPr>
        <w:t>Short-run disruptions and transition risks</w:t>
      </w:r>
      <w:r w:rsidRPr="00642952">
        <w:t xml:space="preserve"> – </w:t>
      </w:r>
      <w:proofErr w:type="gramStart"/>
      <w:r w:rsidRPr="00642952">
        <w:t>Multi-week</w:t>
      </w:r>
      <w:proofErr w:type="gramEnd"/>
      <w:r w:rsidRPr="00642952">
        <w:t xml:space="preserve"> installation downtime, partial closure of lines and the diversion of pigs could impose substantial short-run costs and create winners and losers from sequencing effects. Stakeholders emphasised that these transition risks are highly uncertain and could be as important as steady-state per-pig differences when considering a move away from CO</w:t>
      </w:r>
      <w:r w:rsidRPr="00642952">
        <w:rPr>
          <w:rFonts w:ascii="Cambria Math" w:hAnsi="Cambria Math" w:cs="Cambria Math"/>
        </w:rPr>
        <w:t>₂</w:t>
      </w:r>
      <w:r w:rsidRPr="00642952">
        <w:t>.</w:t>
      </w:r>
    </w:p>
    <w:p w14:paraId="152BDAD9" w14:textId="143E39EF" w:rsidR="00C546FA" w:rsidRPr="00642952" w:rsidRDefault="00C546FA" w:rsidP="000013AD">
      <w:pPr>
        <w:pStyle w:val="ListParagraph"/>
        <w:numPr>
          <w:ilvl w:val="0"/>
          <w:numId w:val="22"/>
        </w:numPr>
      </w:pPr>
      <w:r w:rsidRPr="00642952">
        <w:rPr>
          <w:b/>
          <w:bCs/>
        </w:rPr>
        <w:t>Demand side and competitiveness impacts</w:t>
      </w:r>
      <w:r w:rsidRPr="00642952">
        <w:t xml:space="preserve"> – Higher processing costs are expected, in the long run, to raise wholesale and retail prices, reducing UK pork consumption or shifting demand towards cheaper </w:t>
      </w:r>
      <w:r w:rsidRPr="00642952">
        <w:lastRenderedPageBreak/>
        <w:t>proteins. The consumer-facing analysis should be interpreted carefully: the market consequences of any transition are likely to be driven at least as much by perceptions of welfare (and any associated implications for meat quality and product specifications) as by the magnitude of the cost change itself – meaning that consumer and retailer acceptance may hinge more on the welfare case for a given system than on differences in pence per pig. There are also potential impacts for international competitiveness if UK plants adopt more expensive alternatives ahead of competitors that continue to use CO</w:t>
      </w:r>
      <w:r w:rsidRPr="00642952">
        <w:rPr>
          <w:rFonts w:ascii="Cambria Math" w:hAnsi="Cambria Math" w:cs="Cambria Math"/>
        </w:rPr>
        <w:t>₂</w:t>
      </w:r>
      <w:r w:rsidR="00BC4A1E" w:rsidRPr="00642952">
        <w:rPr>
          <w:rFonts w:ascii="Cambria Math" w:hAnsi="Cambria Math" w:cs="Cambria Math"/>
        </w:rPr>
        <w:t>.</w:t>
      </w:r>
    </w:p>
    <w:p w14:paraId="4E778069" w14:textId="77777777" w:rsidR="00C546FA" w:rsidRPr="00642952" w:rsidRDefault="00C546FA" w:rsidP="000013AD">
      <w:pPr>
        <w:pStyle w:val="ListParagraph"/>
        <w:numPr>
          <w:ilvl w:val="0"/>
          <w:numId w:val="22"/>
        </w:numPr>
      </w:pPr>
      <w:r w:rsidRPr="00642952">
        <w:rPr>
          <w:b/>
          <w:bCs/>
        </w:rPr>
        <w:t>Site-specific layout, footprint and downstream constraints</w:t>
      </w:r>
      <w:r w:rsidRPr="00642952">
        <w:t xml:space="preserve"> – The feasibility and cost of alternative systems depend on site layout. In some plants, accommodating argon or electrical systems would require significant building works or may be infeasible without relocation. In addition, chilling and downstream processing capacity may be the binding constraint rather than the stunner. In such cases, adding stunning capacity or extending hours would not translate directly into higher throughput without further investment.</w:t>
      </w:r>
    </w:p>
    <w:p w14:paraId="59862438" w14:textId="77777777" w:rsidR="00C546FA" w:rsidRPr="00642952" w:rsidRDefault="00C546FA" w:rsidP="000013AD">
      <w:pPr>
        <w:pStyle w:val="ListParagraph"/>
        <w:numPr>
          <w:ilvl w:val="0"/>
          <w:numId w:val="22"/>
        </w:numPr>
      </w:pPr>
      <w:r w:rsidRPr="00642952">
        <w:rPr>
          <w:b/>
          <w:bCs/>
        </w:rPr>
        <w:t>Gas supply and operational resilience</w:t>
      </w:r>
      <w:r w:rsidRPr="00642952">
        <w:t xml:space="preserve"> – A large-scale transition to argon would introduce uncertainties around availability, pricing and logistics at sector scale. These supply-chain risks are flagged qualitatively but are not reflected in the per-pig cost estimates.</w:t>
      </w:r>
    </w:p>
    <w:p w14:paraId="0C09F107" w14:textId="6B1325A0" w:rsidR="002D1445" w:rsidRPr="00642952" w:rsidRDefault="00C546FA" w:rsidP="000013AD">
      <w:pPr>
        <w:pStyle w:val="ListParagraph"/>
        <w:numPr>
          <w:ilvl w:val="0"/>
          <w:numId w:val="22"/>
        </w:numPr>
      </w:pPr>
      <w:r w:rsidRPr="00642952">
        <w:rPr>
          <w:b/>
          <w:bCs/>
        </w:rPr>
        <w:t>Welfare and meat quality considerations</w:t>
      </w:r>
      <w:r w:rsidRPr="00642952">
        <w:t xml:space="preserve"> – Possible effects on blood spotting, PSE and other meat-quality parameters may have commercial consequences through trimming and downgrades. There are also conflicting views on the welfare impacts of different systems, which this report does not conclude on.</w:t>
      </w:r>
    </w:p>
    <w:p w14:paraId="5A212780" w14:textId="47A7D101" w:rsidR="002D1445" w:rsidRPr="00642952" w:rsidRDefault="002D1445" w:rsidP="002D1445">
      <w:r w:rsidRPr="00642952">
        <w:t>Taken together, the evidence indicates that, within the ranges tested, all currently available alternatives to high-concentration CO</w:t>
      </w:r>
      <w:r w:rsidRPr="00642952">
        <w:rPr>
          <w:rFonts w:ascii="Cambria Math" w:hAnsi="Cambria Math" w:cs="Cambria Math"/>
        </w:rPr>
        <w:t>₂</w:t>
      </w:r>
      <w:r w:rsidRPr="00642952">
        <w:t xml:space="preserve"> are expected to increase plant-level costs materially for a representative UK facility, with significant upside risk from transition logistics, site-specific constraints and other unquantified elements. </w:t>
      </w:r>
    </w:p>
    <w:p w14:paraId="70BA617E" w14:textId="1F3DFC91" w:rsidR="00B31E1F" w:rsidRPr="00642952" w:rsidRDefault="002D1445" w:rsidP="002D1445">
      <w:r w:rsidRPr="00642952">
        <w:t xml:space="preserve">In addition to this study, AHDB has commissioned Europe Economics to analyse argon supply in the UK and Europe. That work will investigate the current supply capacity and market volatility of argon and the potential implications of the UK/European pig processing industry switching to argon systems for commercial pig slaughter, including whether there is sufficient argon capacity available to service the industry on a stable basis. </w:t>
      </w:r>
    </w:p>
    <w:p w14:paraId="2B207977" w14:textId="77777777" w:rsidR="007101B9" w:rsidRPr="00642952" w:rsidRDefault="007101B9" w:rsidP="002D1445">
      <w:pPr>
        <w:pStyle w:val="Heading2"/>
      </w:pPr>
      <w:bookmarkStart w:id="11" w:name="_Ref214219497"/>
      <w:bookmarkStart w:id="12" w:name="_Toc216280652"/>
    </w:p>
    <w:p w14:paraId="1ADBB393" w14:textId="77777777" w:rsidR="007101B9" w:rsidRPr="00642952" w:rsidRDefault="007101B9" w:rsidP="002D1445">
      <w:pPr>
        <w:pStyle w:val="Heading2"/>
      </w:pPr>
    </w:p>
    <w:p w14:paraId="76C0B2E1" w14:textId="77777777" w:rsidR="007101B9" w:rsidRPr="00642952" w:rsidRDefault="007101B9" w:rsidP="002D1445">
      <w:pPr>
        <w:pStyle w:val="Heading2"/>
      </w:pPr>
    </w:p>
    <w:p w14:paraId="37B5FB8F" w14:textId="77777777" w:rsidR="007101B9" w:rsidRPr="00642952" w:rsidRDefault="007101B9" w:rsidP="002D1445">
      <w:pPr>
        <w:pStyle w:val="Heading2"/>
      </w:pPr>
    </w:p>
    <w:p w14:paraId="6976DF45" w14:textId="77777777" w:rsidR="007101B9" w:rsidRPr="00642952" w:rsidRDefault="007101B9" w:rsidP="002D1445">
      <w:pPr>
        <w:pStyle w:val="Heading2"/>
      </w:pPr>
    </w:p>
    <w:p w14:paraId="7C758568" w14:textId="62FA2EBB" w:rsidR="002D1445" w:rsidRPr="00642952" w:rsidRDefault="00873683" w:rsidP="002D1445">
      <w:pPr>
        <w:pStyle w:val="Heading2"/>
      </w:pPr>
      <w:bookmarkStart w:id="13" w:name="_Toc224553233"/>
      <w:r w:rsidRPr="00642952">
        <w:lastRenderedPageBreak/>
        <w:t xml:space="preserve">1 </w:t>
      </w:r>
      <w:r w:rsidR="0092643D" w:rsidRPr="00642952">
        <w:t>Introduction</w:t>
      </w:r>
      <w:bookmarkEnd w:id="11"/>
      <w:bookmarkEnd w:id="12"/>
      <w:bookmarkEnd w:id="13"/>
    </w:p>
    <w:p w14:paraId="61BB9F30" w14:textId="77777777" w:rsidR="007B1041" w:rsidRPr="00642952" w:rsidRDefault="007B1041" w:rsidP="007B1041">
      <w:r w:rsidRPr="00642952">
        <w:t>Europe Economics has been commissioned by the Agriculture and Horticulture Development Board (AHDB) to assess the economic costs and benefits for UK pig processors of moving away from high-concentration CO</w:t>
      </w:r>
      <w:r w:rsidRPr="00642952">
        <w:rPr>
          <w:rFonts w:ascii="Cambria Math" w:hAnsi="Cambria Math" w:cs="Cambria Math"/>
        </w:rPr>
        <w:t>₂</w:t>
      </w:r>
      <w:r w:rsidRPr="00642952">
        <w:t xml:space="preserve"> stunning to alternative methods. This report sets out the findings from our cost model and accompanying evidence review. </w:t>
      </w:r>
    </w:p>
    <w:p w14:paraId="753A0CAA" w14:textId="46C673BA" w:rsidR="009931C8" w:rsidRDefault="007B1041" w:rsidP="007B1041">
      <w:r w:rsidRPr="00642952">
        <w:t>Currently, pig processing facilities in the UK use CO</w:t>
      </w:r>
      <w:r w:rsidRPr="00642952">
        <w:rPr>
          <w:vertAlign w:val="subscript"/>
        </w:rPr>
        <w:t>2</w:t>
      </w:r>
      <w:r w:rsidRPr="00642952">
        <w:t xml:space="preserve"> as their primary method to stun and kill pigs. Almost 10 million pigs are slaughtered each year in the UK, of which 90</w:t>
      </w:r>
      <w:r w:rsidR="000C4CA2" w:rsidRPr="00642952">
        <w:t>%</w:t>
      </w:r>
      <w:r w:rsidRPr="00642952">
        <w:t xml:space="preserve"> are killed using CO</w:t>
      </w:r>
      <w:r w:rsidRPr="00642952">
        <w:rPr>
          <w:vertAlign w:val="subscript"/>
        </w:rPr>
        <w:t>2</w:t>
      </w:r>
      <w:r w:rsidRPr="00642952">
        <w:t xml:space="preserve"> gassing.</w:t>
      </w:r>
      <w:r w:rsidRPr="00642952">
        <w:rPr>
          <w:vertAlign w:val="superscript"/>
        </w:rPr>
        <w:footnoteReference w:id="1"/>
      </w:r>
      <w:r w:rsidRPr="00642952">
        <w:t xml:space="preserve">  However, there have been animal welfare issues raised about using CO</w:t>
      </w:r>
      <w:r w:rsidRPr="00642952">
        <w:rPr>
          <w:vertAlign w:val="subscript"/>
        </w:rPr>
        <w:t>2</w:t>
      </w:r>
      <w:r w:rsidRPr="00642952">
        <w:t>.</w:t>
      </w:r>
      <w:r w:rsidR="009931C8">
        <w:t xml:space="preserve"> </w:t>
      </w:r>
      <w:r w:rsidRPr="00642952">
        <w:t>Studies conducted by the European Food Safety Authority (EFSA) assert that exposing pigs to high concentrations of CO</w:t>
      </w:r>
      <w:r w:rsidRPr="00642952">
        <w:rPr>
          <w:rFonts w:ascii="Cambria Math" w:hAnsi="Cambria Math" w:cs="Cambria Math"/>
        </w:rPr>
        <w:t>₂</w:t>
      </w:r>
      <w:r w:rsidRPr="00642952">
        <w:t xml:space="preserve"> during stunning leads to</w:t>
      </w:r>
      <w:r w:rsidRPr="00642952">
        <w:rPr>
          <w:vertAlign w:val="subscript"/>
        </w:rPr>
        <w:t xml:space="preserve"> </w:t>
      </w:r>
      <w:r w:rsidRPr="00642952">
        <w:t>significant welfare hazards, notably pain, aversion and respiratory distress before loss of consciousness</w:t>
      </w:r>
      <w:r w:rsidRPr="00642952">
        <w:rPr>
          <w:vertAlign w:val="subscript"/>
        </w:rPr>
        <w:t>.</w:t>
      </w:r>
      <w:r w:rsidRPr="00642952">
        <w:rPr>
          <w:vertAlign w:val="superscript"/>
        </w:rPr>
        <w:footnoteReference w:id="2"/>
      </w:r>
      <w:r w:rsidRPr="00642952">
        <w:t xml:space="preserve">. </w:t>
      </w:r>
    </w:p>
    <w:p w14:paraId="75D6DA69" w14:textId="0C2EA9F0" w:rsidR="007B1041" w:rsidRPr="00642952" w:rsidRDefault="007B1041" w:rsidP="007B1041">
      <w:r w:rsidRPr="00642952">
        <w:t>The EU Reference Centre for Animal Welfare recently undertook a detailed research project regarding the economic, environmental, quality and welfare costs associated with different methods of pig slaughter. The PigStun project was a central part of this work, testing four alternative stunning systems and developing technical specifications to support a transition away from high-concentration CO</w:t>
      </w:r>
      <w:r w:rsidRPr="00642952">
        <w:rPr>
          <w:rFonts w:ascii="Cambria Math" w:hAnsi="Cambria Math" w:cs="Cambria Math"/>
        </w:rPr>
        <w:t>₂</w:t>
      </w:r>
      <w:r w:rsidRPr="00642952">
        <w:t xml:space="preserve"> stunning in commercial slaughterhouses.</w:t>
      </w:r>
      <w:r w:rsidRPr="00642952">
        <w:rPr>
          <w:vertAlign w:val="superscript"/>
        </w:rPr>
        <w:footnoteReference w:id="3"/>
      </w:r>
    </w:p>
    <w:p w14:paraId="74FEBAFF" w14:textId="77777777" w:rsidR="00C74C78" w:rsidRDefault="007B1041" w:rsidP="007B1041">
      <w:r w:rsidRPr="00642952">
        <w:t>In this context, AHDB has sought to understand the potential implications for UK processors of transitioning to alternative methods of killing pigs in the UK. In Great Britain, these decisions are framed by the Welfare of Animals at the Time of Killing (WATOK) Regulations, which require controlled atmosphere systems using high concentrations of CO</w:t>
      </w:r>
      <w:r w:rsidRPr="00642952">
        <w:rPr>
          <w:rFonts w:ascii="Cambria Math" w:hAnsi="Cambria Math" w:cs="Cambria Math"/>
        </w:rPr>
        <w:t>₂</w:t>
      </w:r>
      <w:r w:rsidRPr="00642952">
        <w:t xml:space="preserve"> to operate on a stun-to-kill basis, with pigs remaining in the gas until dead.</w:t>
      </w:r>
      <w:r w:rsidR="00C74C78">
        <w:t xml:space="preserve"> </w:t>
      </w:r>
      <w:r w:rsidRPr="00642952">
        <w:t>By contrast, under the EU framework, gas systems may be used on a stun-to-stun basis, with killing achieved by subsequent exsanguination.</w:t>
      </w:r>
    </w:p>
    <w:p w14:paraId="4E85F683" w14:textId="4C13651E" w:rsidR="007B1041" w:rsidRPr="00642952" w:rsidRDefault="007B1041" w:rsidP="007B1041">
      <w:r w:rsidRPr="00642952">
        <w:t>This study aims to provide an objective, evidence-based assessment of the economic costs and practical feasibility of different options. To this end, a quantitative cost model has been developed to compare the costs associated with CO</w:t>
      </w:r>
      <w:r w:rsidRPr="00642952">
        <w:rPr>
          <w:rFonts w:ascii="Cambria Math" w:hAnsi="Cambria Math" w:cs="Cambria Math"/>
        </w:rPr>
        <w:t>₂</w:t>
      </w:r>
      <w:r w:rsidRPr="00642952">
        <w:t>, argon and electrical stunning, and to consider the feasibility of helium systems. Evidence has been gathered through anonymised interviews and data requests to major UK processors, complemented by published sources. The analysis anchors assumptions in UK stakeholder input where available and uses recent literature to inform technical parameters and ranges.</w:t>
      </w:r>
    </w:p>
    <w:p w14:paraId="4CB5E591" w14:textId="044EEFE9" w:rsidR="0092643D" w:rsidRPr="00642952" w:rsidRDefault="007B1041" w:rsidP="007B1041">
      <w:r w:rsidRPr="00642952">
        <w:t>This study focuses on plant-level costs for stunning and immediate slaughter operations at a notional UK site. It does not provide a full welfare assessment, nor does it quantify costs in downstream cutting and butchery, retail margins or farm-level impacts. Those elements are outside scope but are discussed qualitatively where relevant.</w:t>
      </w:r>
    </w:p>
    <w:p w14:paraId="2D75EDF5" w14:textId="77777777" w:rsidR="00774492" w:rsidRPr="00642952" w:rsidRDefault="00774492" w:rsidP="00774492">
      <w:r w:rsidRPr="00642952">
        <w:t>The Animal Welfare Committee recently published its opinion on welfare impacts of CO</w:t>
      </w:r>
      <w:r w:rsidRPr="00642952">
        <w:rPr>
          <w:rFonts w:ascii="Cambria Math" w:hAnsi="Cambria Math" w:cs="Cambria Math"/>
        </w:rPr>
        <w:t>₂</w:t>
      </w:r>
      <w:r w:rsidRPr="00642952">
        <w:t xml:space="preserve"> and potential alternatives.</w:t>
      </w:r>
      <w:r w:rsidRPr="00642952">
        <w:rPr>
          <w:vertAlign w:val="superscript"/>
        </w:rPr>
        <w:footnoteReference w:id="4"/>
      </w:r>
      <w:r w:rsidRPr="00642952">
        <w:t xml:space="preserve"> We discuss its findings in Chapter 5. </w:t>
      </w:r>
    </w:p>
    <w:p w14:paraId="2036AB6B" w14:textId="77777777" w:rsidR="00774492" w:rsidRPr="00642952" w:rsidRDefault="00774492" w:rsidP="00774492">
      <w:r w:rsidRPr="00642952">
        <w:t>The remainder of the report is structured as follows:</w:t>
      </w:r>
    </w:p>
    <w:p w14:paraId="6C5AF26C" w14:textId="77777777" w:rsidR="00774492" w:rsidRPr="00642952" w:rsidRDefault="00774492" w:rsidP="000013AD">
      <w:pPr>
        <w:pStyle w:val="ListParagraph"/>
        <w:numPr>
          <w:ilvl w:val="0"/>
          <w:numId w:val="23"/>
        </w:numPr>
      </w:pPr>
      <w:r w:rsidRPr="00642952">
        <w:t>Chapter 2 describes our approach and evidence sources</w:t>
      </w:r>
    </w:p>
    <w:p w14:paraId="78130F2B" w14:textId="77777777" w:rsidR="00774492" w:rsidRPr="00642952" w:rsidRDefault="00774492" w:rsidP="000013AD">
      <w:pPr>
        <w:pStyle w:val="ListParagraph"/>
        <w:numPr>
          <w:ilvl w:val="0"/>
          <w:numId w:val="23"/>
        </w:numPr>
      </w:pPr>
      <w:r w:rsidRPr="00642952">
        <w:t>Chapter 3 explains the cost-modelling framework and scenarios</w:t>
      </w:r>
    </w:p>
    <w:p w14:paraId="0E39E13B" w14:textId="77777777" w:rsidR="00774492" w:rsidRPr="00642952" w:rsidRDefault="00774492" w:rsidP="000013AD">
      <w:pPr>
        <w:pStyle w:val="ListParagraph"/>
        <w:numPr>
          <w:ilvl w:val="0"/>
          <w:numId w:val="23"/>
        </w:numPr>
      </w:pPr>
      <w:r w:rsidRPr="00642952">
        <w:t>Chapter 4 presents the quantitative results, including sensitivities and a discussion of robustness</w:t>
      </w:r>
    </w:p>
    <w:p w14:paraId="5D824A9B" w14:textId="77777777" w:rsidR="00774492" w:rsidRPr="00642952" w:rsidRDefault="00774492" w:rsidP="000013AD">
      <w:pPr>
        <w:pStyle w:val="ListParagraph"/>
        <w:numPr>
          <w:ilvl w:val="0"/>
          <w:numId w:val="23"/>
        </w:numPr>
      </w:pPr>
      <w:r w:rsidRPr="00642952">
        <w:lastRenderedPageBreak/>
        <w:t>Chapter 5 sets out wider operational, market and welfare considerations that are not monetised in the model</w:t>
      </w:r>
    </w:p>
    <w:p w14:paraId="6A7502A9" w14:textId="77777777" w:rsidR="00774492" w:rsidRPr="00642952" w:rsidRDefault="00774492" w:rsidP="000013AD">
      <w:pPr>
        <w:pStyle w:val="ListParagraph"/>
        <w:numPr>
          <w:ilvl w:val="0"/>
          <w:numId w:val="23"/>
        </w:numPr>
      </w:pPr>
      <w:r w:rsidRPr="00642952">
        <w:t>Chapter 6 concludes</w:t>
      </w:r>
    </w:p>
    <w:p w14:paraId="16DC7350" w14:textId="610EF6E7" w:rsidR="00774492" w:rsidRPr="00642952" w:rsidRDefault="00A834DB" w:rsidP="00774492">
      <w:pPr>
        <w:pStyle w:val="Heading2"/>
      </w:pPr>
      <w:bookmarkStart w:id="14" w:name="_Toc216280653"/>
      <w:bookmarkStart w:id="15" w:name="_Toc224553234"/>
      <w:r w:rsidRPr="00642952">
        <w:t xml:space="preserve">2 </w:t>
      </w:r>
      <w:r w:rsidR="00022D05" w:rsidRPr="00642952">
        <w:t>Approach and methods</w:t>
      </w:r>
      <w:bookmarkEnd w:id="14"/>
      <w:bookmarkEnd w:id="15"/>
    </w:p>
    <w:p w14:paraId="2567CA26" w14:textId="77777777" w:rsidR="0017270D" w:rsidRPr="00642952" w:rsidRDefault="0017270D" w:rsidP="0017270D">
      <w:r w:rsidRPr="00642952">
        <w:t xml:space="preserve">This section sets out the approach taken to the study, including the evidence collected and the modelling approach. </w:t>
      </w:r>
    </w:p>
    <w:p w14:paraId="7C81A7B9" w14:textId="648D52C9" w:rsidR="00022D05" w:rsidRPr="00642952" w:rsidRDefault="00962648" w:rsidP="004A29FC">
      <w:pPr>
        <w:pStyle w:val="Heading3"/>
      </w:pPr>
      <w:bookmarkStart w:id="16" w:name="_Toc224553235"/>
      <w:r w:rsidRPr="00642952">
        <w:t>2.1 Evidence sources</w:t>
      </w:r>
      <w:bookmarkEnd w:id="16"/>
    </w:p>
    <w:p w14:paraId="0715F0C8" w14:textId="77777777" w:rsidR="001950F6" w:rsidRPr="00642952" w:rsidRDefault="001950F6" w:rsidP="001950F6">
      <w:r w:rsidRPr="00642952">
        <w:t>Our analysis draws on two evidence streams:</w:t>
      </w:r>
    </w:p>
    <w:p w14:paraId="6FC2DAC8" w14:textId="77777777" w:rsidR="001950F6" w:rsidRPr="00642952" w:rsidRDefault="001950F6" w:rsidP="000013AD">
      <w:pPr>
        <w:pStyle w:val="ListParagraph"/>
        <w:numPr>
          <w:ilvl w:val="0"/>
          <w:numId w:val="24"/>
        </w:numPr>
      </w:pPr>
      <w:r w:rsidRPr="00642952">
        <w:t>Literature review</w:t>
      </w:r>
    </w:p>
    <w:p w14:paraId="2150185A" w14:textId="77777777" w:rsidR="001950F6" w:rsidRPr="00642952" w:rsidRDefault="001950F6" w:rsidP="000013AD">
      <w:pPr>
        <w:pStyle w:val="ListParagraph"/>
        <w:numPr>
          <w:ilvl w:val="0"/>
          <w:numId w:val="24"/>
        </w:numPr>
      </w:pPr>
      <w:r w:rsidRPr="00642952">
        <w:t>Stakeholder interviews and data</w:t>
      </w:r>
    </w:p>
    <w:p w14:paraId="52D9AF6B" w14:textId="34918FB9" w:rsidR="00962648" w:rsidRPr="00642952" w:rsidRDefault="00F30A51" w:rsidP="00EF5EA9">
      <w:pPr>
        <w:pStyle w:val="Heading4"/>
      </w:pPr>
      <w:r w:rsidRPr="00642952">
        <w:t>2.1.1 Literature review</w:t>
      </w:r>
    </w:p>
    <w:p w14:paraId="585742C3" w14:textId="77777777" w:rsidR="00AA7480" w:rsidRDefault="004D2B1B" w:rsidP="004D2B1B">
      <w:r w:rsidRPr="00642952">
        <w:t>We undertook a targeted review of recent technical and policy literature on alternatives to high-concentration CO</w:t>
      </w:r>
      <w:r w:rsidRPr="00642952">
        <w:rPr>
          <w:vertAlign w:val="subscript"/>
        </w:rPr>
        <w:t>2</w:t>
      </w:r>
      <w:r w:rsidRPr="00642952">
        <w:t xml:space="preserve"> for pig slaughter, complemented by sources on optimising current CO</w:t>
      </w:r>
      <w:r w:rsidRPr="00642952">
        <w:rPr>
          <w:vertAlign w:val="subscript"/>
        </w:rPr>
        <w:t>2</w:t>
      </w:r>
      <w:r w:rsidRPr="00642952">
        <w:t xml:space="preserve"> practice.</w:t>
      </w:r>
    </w:p>
    <w:p w14:paraId="5BF701C9" w14:textId="10BD78EF" w:rsidR="004D2B1B" w:rsidRPr="00642952" w:rsidRDefault="004D2B1B" w:rsidP="004D2B1B">
      <w:r w:rsidRPr="00642952">
        <w:t>The geographic coverage of relevant literature is primarily European but also included UK</w:t>
      </w:r>
      <w:r w:rsidR="008E38B8">
        <w:t>-</w:t>
      </w:r>
      <w:r w:rsidRPr="00642952">
        <w:t xml:space="preserve">relevant sources from veterinary and welfare organisations. The evidence gathered from the literature review was used to inform default technical parameters for the cost model where relevant quantitative values were provided. The literature also provided evidence on welfare, meat quality and other wider impacts.  </w:t>
      </w:r>
    </w:p>
    <w:p w14:paraId="189D5F96" w14:textId="77777777" w:rsidR="008E38B8" w:rsidRDefault="004D2B1B" w:rsidP="004D2B1B">
      <w:r w:rsidRPr="00642952">
        <w:t>A key input was the Deliverable 4 (D4) report from the PigStun project – the integrated assessment of alternative stunning methods – which synthesises results on animal welfare, meat quality, environmental and social impacts, and ease of conversion across argon retrofit, helium systems, optimised CAS, and improved electrical stunning, benchmarking against current CO</w:t>
      </w:r>
      <w:r w:rsidRPr="00642952">
        <w:rPr>
          <w:vertAlign w:val="subscript"/>
        </w:rPr>
        <w:t>2</w:t>
      </w:r>
      <w:r w:rsidRPr="00642952">
        <w:t xml:space="preserve"> practice.</w:t>
      </w:r>
      <w:r w:rsidRPr="00642952">
        <w:rPr>
          <w:vertAlign w:val="superscript"/>
        </w:rPr>
        <w:footnoteReference w:id="5"/>
      </w:r>
    </w:p>
    <w:p w14:paraId="2E0C5962" w14:textId="774B237D" w:rsidR="004D2B1B" w:rsidRPr="00642952" w:rsidRDefault="004D2B1B" w:rsidP="004D2B1B">
      <w:r w:rsidRPr="00642952">
        <w:t xml:space="preserve">The project covers slaughterhouses in Germany, Denmark, Spain and the Netherlands. </w:t>
      </w:r>
    </w:p>
    <w:p w14:paraId="52FF53B7" w14:textId="7C11EB02" w:rsidR="00774492" w:rsidRPr="00642952" w:rsidRDefault="008672BB" w:rsidP="00EF5EA9">
      <w:pPr>
        <w:pStyle w:val="Heading4"/>
      </w:pPr>
      <w:r w:rsidRPr="00642952">
        <w:t>2.1.2 Stakeholder evidence</w:t>
      </w:r>
    </w:p>
    <w:p w14:paraId="33D02AF7" w14:textId="713FC368" w:rsidR="00CA7848" w:rsidRDefault="00677E65" w:rsidP="00677E65">
      <w:r w:rsidRPr="00642952">
        <w:t>To capture UK-specific realities that are not fully reflected in the EU-heavy literature, we held structured interviews with major UK pig processors and industry bodies. These discussions provided insight into the configuration of current CO</w:t>
      </w:r>
      <w:r w:rsidRPr="00642952">
        <w:rPr>
          <w:rFonts w:ascii="Cambria Math" w:hAnsi="Cambria Math" w:cs="Cambria Math"/>
        </w:rPr>
        <w:t>₂</w:t>
      </w:r>
      <w:r w:rsidRPr="00642952">
        <w:t xml:space="preserve"> systems, operational practices, staffing, maintenance routines and the practical considerations involved in transitioning to alternative methods.</w:t>
      </w:r>
    </w:p>
    <w:p w14:paraId="72A761DF" w14:textId="557CE7A9" w:rsidR="00677E65" w:rsidRDefault="00677E65" w:rsidP="00677E65">
      <w:r w:rsidRPr="00642952">
        <w:t>The information gathered was used to calibrate UK-specific model parameters and to collect qualitative evidence on the feasibility of retrofitting or installing new systems within existing plant layouts.</w:t>
      </w:r>
    </w:p>
    <w:p w14:paraId="7C295DE2" w14:textId="77777777" w:rsidR="00CA7848" w:rsidRDefault="00CA7848" w:rsidP="00677E65"/>
    <w:p w14:paraId="639382DC" w14:textId="77777777" w:rsidR="00CA7848" w:rsidRDefault="00CA7848" w:rsidP="00677E65"/>
    <w:p w14:paraId="1A62A837" w14:textId="77777777" w:rsidR="00677E65" w:rsidRPr="00642952" w:rsidRDefault="00677E65" w:rsidP="00677E65">
      <w:r w:rsidRPr="00642952">
        <w:lastRenderedPageBreak/>
        <w:t>Interviews followed a common question set designed to:</w:t>
      </w:r>
    </w:p>
    <w:p w14:paraId="0649F3B8" w14:textId="2AF3D12A" w:rsidR="00472AAC" w:rsidRPr="00642952" w:rsidRDefault="005C108D" w:rsidP="000013AD">
      <w:pPr>
        <w:pStyle w:val="ListParagraph"/>
        <w:numPr>
          <w:ilvl w:val="0"/>
          <w:numId w:val="25"/>
        </w:numPr>
      </w:pPr>
      <w:r w:rsidRPr="00642952">
        <w:t>U</w:t>
      </w:r>
      <w:r w:rsidR="00472AAC" w:rsidRPr="00642952">
        <w:t>nderstand current operating systems and practices</w:t>
      </w:r>
    </w:p>
    <w:p w14:paraId="5E17976F" w14:textId="708EE04A" w:rsidR="00472AAC" w:rsidRPr="00642952" w:rsidRDefault="005C108D" w:rsidP="000013AD">
      <w:pPr>
        <w:pStyle w:val="ListParagraph"/>
        <w:numPr>
          <w:ilvl w:val="0"/>
          <w:numId w:val="25"/>
        </w:numPr>
      </w:pPr>
      <w:r w:rsidRPr="00642952">
        <w:t>S</w:t>
      </w:r>
      <w:r w:rsidR="00472AAC" w:rsidRPr="00642952">
        <w:t>ense</w:t>
      </w:r>
      <w:r w:rsidRPr="00642952">
        <w:t xml:space="preserve"> </w:t>
      </w:r>
      <w:r w:rsidR="00472AAC" w:rsidRPr="00642952">
        <w:t>check assumptions drawn from the literature regarding the likely operational and cost impacts of alternative methods</w:t>
      </w:r>
    </w:p>
    <w:p w14:paraId="4A196300" w14:textId="2415E9F2" w:rsidR="00472AAC" w:rsidRPr="00642952" w:rsidRDefault="005C108D" w:rsidP="000013AD">
      <w:pPr>
        <w:pStyle w:val="ListParagraph"/>
        <w:numPr>
          <w:ilvl w:val="0"/>
          <w:numId w:val="25"/>
        </w:numPr>
      </w:pPr>
      <w:r w:rsidRPr="00642952">
        <w:t>F</w:t>
      </w:r>
      <w:r w:rsidR="00472AAC" w:rsidRPr="00642952">
        <w:t>ill specific evidence gaps in the cost model, particularly around capital and downtime requirements, labour needs and throughput implications</w:t>
      </w:r>
    </w:p>
    <w:p w14:paraId="7BD0FA6E" w14:textId="03E07EB8" w:rsidR="0004267A" w:rsidRPr="00642952" w:rsidRDefault="0004267A" w:rsidP="0004267A">
      <w:r w:rsidRPr="00642952">
        <w:t>Consistent with early project scoping, the interviews focused on argon-based</w:t>
      </w:r>
      <w:r w:rsidR="00EC2008" w:rsidRPr="00642952">
        <w:t>,</w:t>
      </w:r>
      <w:r w:rsidRPr="00642952">
        <w:t xml:space="preserve"> controlled-atmosphere systems and electrical stunning as the two alternatives of primary interest. Each interviewee was asked whether helium systems were viewed as feasible, but there was a strong consensus that these were not realistic for commercial deployment. As such, detailed questioning concentrated on argon and electrical systems, which are the focus of the quantitative analysis presented later in this report. </w:t>
      </w:r>
    </w:p>
    <w:p w14:paraId="1B244EEA" w14:textId="77777777" w:rsidR="0004267A" w:rsidRPr="00642952" w:rsidRDefault="0004267A" w:rsidP="0004267A">
      <w:r w:rsidRPr="00642952">
        <w:t xml:space="preserve">Following the interviews, a short data request was issued to processors to capture consistent quantitative information on key operational and cost parameters. </w:t>
      </w:r>
    </w:p>
    <w:p w14:paraId="363F04FB" w14:textId="77BCA0E2" w:rsidR="008A7FAF" w:rsidRDefault="0004267A" w:rsidP="0004267A">
      <w:r w:rsidRPr="00642952">
        <w:t>Evidence on high-throughput performance of CO</w:t>
      </w:r>
      <w:r w:rsidRPr="00642952">
        <w:rPr>
          <w:vertAlign w:val="subscript"/>
        </w:rPr>
        <w:t>2</w:t>
      </w:r>
      <w:r w:rsidRPr="00642952">
        <w:t xml:space="preserve"> alternatives remains limited. UK-specific parameters were not always obtainable from stakeholders because the industry lacks direct operating experience on which to base firm estimates for alternative systems. As a result, parts of the model necessarily draw on international benchmarks and ranges derived from the literature.</w:t>
      </w:r>
    </w:p>
    <w:p w14:paraId="54890E7B" w14:textId="42AE5D53" w:rsidR="0004267A" w:rsidRPr="00642952" w:rsidRDefault="0004267A" w:rsidP="0004267A">
      <w:r w:rsidRPr="00642952">
        <w:t>We discuss the implications of these evidence gaps for interpretation and robustness of the modelled cost results in the results section.</w:t>
      </w:r>
    </w:p>
    <w:p w14:paraId="6344EAF7" w14:textId="1D1DA472" w:rsidR="008672BB" w:rsidRPr="00642952" w:rsidRDefault="00DA4B66" w:rsidP="004A29FC">
      <w:pPr>
        <w:pStyle w:val="Heading3"/>
      </w:pPr>
      <w:bookmarkStart w:id="17" w:name="_Toc224553236"/>
      <w:r w:rsidRPr="00642952">
        <w:t>2.2 Cost modelling approach</w:t>
      </w:r>
      <w:bookmarkEnd w:id="17"/>
    </w:p>
    <w:p w14:paraId="591E0F2C" w14:textId="1A74F23E" w:rsidR="008A7FAF" w:rsidRDefault="00071E20" w:rsidP="00071E20">
      <w:r w:rsidRPr="00642952">
        <w:t>The cost model provides a structured quantitative framework for comparing the cost of different slaughter methods under UK conditions. It combines information from the literature, stakeholder interviews and data requests to produce a set of cost estimates for a notional UK slaughter site.</w:t>
      </w:r>
    </w:p>
    <w:p w14:paraId="447518D8" w14:textId="62790E14" w:rsidR="00071E20" w:rsidRPr="00642952" w:rsidRDefault="00071E20" w:rsidP="00071E20">
      <w:r w:rsidRPr="00642952">
        <w:t>The model estimates per-pig costs, which allow comparisons across plant sizes and technologies.</w:t>
      </w:r>
    </w:p>
    <w:p w14:paraId="6E3529AE" w14:textId="58523080" w:rsidR="00926505" w:rsidRPr="00642952" w:rsidRDefault="00926505" w:rsidP="00EF5EA9">
      <w:pPr>
        <w:pStyle w:val="Heading4"/>
      </w:pPr>
      <w:r w:rsidRPr="00642952">
        <w:t>2.2.1 Cost components</w:t>
      </w:r>
    </w:p>
    <w:p w14:paraId="77E1D896" w14:textId="77777777" w:rsidR="00F334CF" w:rsidRPr="00642952" w:rsidRDefault="00F334CF" w:rsidP="00F334CF">
      <w:r w:rsidRPr="00642952">
        <w:t>Total costs are built up from operating (ongoing) costs and one-off capital costs associated with converting to alternative systems.</w:t>
      </w:r>
    </w:p>
    <w:p w14:paraId="2E3EF4B8" w14:textId="77777777" w:rsidR="00F334CF" w:rsidRPr="00642952" w:rsidRDefault="00F334CF" w:rsidP="00F334CF">
      <w:r w:rsidRPr="00642952">
        <w:t>Operating costs are driven primarily by throughput and include all items that recur during normal operations:</w:t>
      </w:r>
    </w:p>
    <w:p w14:paraId="403F04FF" w14:textId="635EF575" w:rsidR="00F334CF" w:rsidRPr="00642952" w:rsidRDefault="00F334CF" w:rsidP="000013AD">
      <w:pPr>
        <w:pStyle w:val="ListParagraph"/>
        <w:numPr>
          <w:ilvl w:val="0"/>
          <w:numId w:val="26"/>
        </w:numPr>
      </w:pPr>
      <w:r w:rsidRPr="00642952">
        <w:rPr>
          <w:b/>
          <w:bCs/>
        </w:rPr>
        <w:t>Labour</w:t>
      </w:r>
      <w:r w:rsidRPr="00642952">
        <w:t xml:space="preserve"> – staff required to operate and maintain the stunning and slaughter line, including any changes in staffing levels resulting from alternative systems</w:t>
      </w:r>
    </w:p>
    <w:p w14:paraId="4CAF6F6C" w14:textId="137DFCFB" w:rsidR="00F334CF" w:rsidRPr="00642952" w:rsidRDefault="00F334CF" w:rsidP="000013AD">
      <w:pPr>
        <w:pStyle w:val="ListParagraph"/>
        <w:numPr>
          <w:ilvl w:val="0"/>
          <w:numId w:val="26"/>
        </w:numPr>
      </w:pPr>
      <w:r w:rsidRPr="00642952">
        <w:rPr>
          <w:b/>
          <w:bCs/>
        </w:rPr>
        <w:t>Gas and electricity</w:t>
      </w:r>
      <w:r w:rsidRPr="00642952">
        <w:t xml:space="preserve"> – consumption of argon or CO</w:t>
      </w:r>
      <w:r w:rsidRPr="00642952">
        <w:rPr>
          <w:rFonts w:ascii="Cambria Math" w:hAnsi="Cambria Math" w:cs="Cambria Math"/>
        </w:rPr>
        <w:t>₂</w:t>
      </w:r>
      <w:r w:rsidRPr="00642952">
        <w:t xml:space="preserve"> gases and electricity in the stunning system</w:t>
      </w:r>
    </w:p>
    <w:p w14:paraId="01525256" w14:textId="685A7C5F" w:rsidR="00F334CF" w:rsidRPr="00642952" w:rsidRDefault="00F334CF" w:rsidP="000013AD">
      <w:pPr>
        <w:pStyle w:val="ListParagraph"/>
        <w:numPr>
          <w:ilvl w:val="0"/>
          <w:numId w:val="26"/>
        </w:numPr>
      </w:pPr>
      <w:r w:rsidRPr="00642952">
        <w:rPr>
          <w:b/>
          <w:bCs/>
        </w:rPr>
        <w:t>Water</w:t>
      </w:r>
      <w:r w:rsidRPr="00642952">
        <w:t xml:space="preserve"> – changes in water use arising from system differences or cleaning requirements</w:t>
      </w:r>
    </w:p>
    <w:p w14:paraId="4E2D6763" w14:textId="4CFB8642" w:rsidR="00F334CF" w:rsidRPr="00642952" w:rsidRDefault="00F334CF" w:rsidP="000013AD">
      <w:pPr>
        <w:pStyle w:val="ListParagraph"/>
        <w:numPr>
          <w:ilvl w:val="0"/>
          <w:numId w:val="26"/>
        </w:numPr>
      </w:pPr>
      <w:r w:rsidRPr="00642952">
        <w:rPr>
          <w:b/>
          <w:bCs/>
        </w:rPr>
        <w:t>Maintenance</w:t>
      </w:r>
      <w:r w:rsidRPr="00642952">
        <w:t xml:space="preserve"> – planned and unplanned maintenance of the stunning equipment and related infrastructure</w:t>
      </w:r>
    </w:p>
    <w:p w14:paraId="3EE41902" w14:textId="77777777" w:rsidR="00F334CF" w:rsidRPr="00642952" w:rsidRDefault="00F334CF" w:rsidP="00F334CF">
      <w:r w:rsidRPr="00642952">
        <w:t>Throughput is a key driver of these costs. Any change in the number of pigs processed per year directly affects the total operating costs, as labour, gas and maintenance requirements scale broadly with production volume. The impact of alternatives on a per-pig operating cost depends on the impact on staffing levels, maintenance requirements and the consumption and cost of gas and electricity.</w:t>
      </w:r>
    </w:p>
    <w:p w14:paraId="7D2C8FED" w14:textId="3F24EACF" w:rsidR="00DA4B66" w:rsidRPr="00642952" w:rsidRDefault="00F334CF" w:rsidP="00F334CF">
      <w:r w:rsidRPr="00642952">
        <w:t xml:space="preserve">Capital costs capture one-off conversion or installation costs for new systems, including equipment purchase, fitting and downtime during installation. These costs are treated as a single upfront investment and converted to an annual equivalent using a depreciation period of 10 years and a </w:t>
      </w:r>
      <w:r w:rsidRPr="00642952">
        <w:rPr>
          <w:b/>
          <w:bCs/>
        </w:rPr>
        <w:t>3.5% real discount rate</w:t>
      </w:r>
      <w:r w:rsidRPr="00642952">
        <w:t xml:space="preserve">, consistent with HM Treasury Green Book guidance. The resulting capital annuity allows capital costs to be expressed on the same </w:t>
      </w:r>
      <w:r w:rsidRPr="00642952">
        <w:lastRenderedPageBreak/>
        <w:t>per-pig basis as operating costs, providing a fair and transparent basis for comparison across options. All per-pig costs, representing the sum of annualised capital and operating costs, are expressed in 2024 prices.</w:t>
      </w:r>
    </w:p>
    <w:p w14:paraId="4E24B098" w14:textId="377FB4B5" w:rsidR="008672BB" w:rsidRPr="00642952" w:rsidRDefault="00C01125" w:rsidP="00EF5EA9">
      <w:pPr>
        <w:pStyle w:val="Heading4"/>
      </w:pPr>
      <w:r w:rsidRPr="00642952">
        <w:t>2.2.2 Model scenarios</w:t>
      </w:r>
    </w:p>
    <w:p w14:paraId="251FB432" w14:textId="77777777" w:rsidR="008656A7" w:rsidRPr="00642952" w:rsidRDefault="008656A7" w:rsidP="00EF5EA9">
      <w:pPr>
        <w:pStyle w:val="Heading5"/>
      </w:pPr>
      <w:r w:rsidRPr="00642952">
        <w:t>Baseline scenario</w:t>
      </w:r>
    </w:p>
    <w:p w14:paraId="6E9C38D9" w14:textId="77777777" w:rsidR="001803B8" w:rsidRDefault="008656A7" w:rsidP="008656A7">
      <w:r w:rsidRPr="00642952">
        <w:t>The cost impact of alternatives to CO</w:t>
      </w:r>
      <w:r w:rsidRPr="00642952">
        <w:rPr>
          <w:vertAlign w:val="subscript"/>
        </w:rPr>
        <w:t>2</w:t>
      </w:r>
      <w:r w:rsidRPr="00642952">
        <w:t xml:space="preserve"> are calculated relative to a counterfactual baseline scenario.</w:t>
      </w:r>
    </w:p>
    <w:p w14:paraId="4C50B2C9" w14:textId="0BEA7B4C" w:rsidR="008656A7" w:rsidRPr="00642952" w:rsidRDefault="008656A7" w:rsidP="008656A7">
      <w:r w:rsidRPr="00642952">
        <w:t xml:space="preserve">The baseline represents an </w:t>
      </w:r>
      <w:r w:rsidR="0002370F" w:rsidRPr="00642952">
        <w:t>‘</w:t>
      </w:r>
      <w:r w:rsidRPr="00642952">
        <w:t>average</w:t>
      </w:r>
      <w:r w:rsidR="0002370F" w:rsidRPr="00642952">
        <w:t xml:space="preserve">’ </w:t>
      </w:r>
      <w:r w:rsidRPr="00642952">
        <w:t>UK CO</w:t>
      </w:r>
      <w:r w:rsidRPr="00642952">
        <w:rPr>
          <w:rFonts w:ascii="Cambria Math" w:hAnsi="Cambria Math" w:cs="Cambria Math"/>
        </w:rPr>
        <w:t>₂</w:t>
      </w:r>
      <w:r w:rsidRPr="00642952">
        <w:t xml:space="preserve"> stunning and slaughter operation. It has been constructed by synthesising data and qualitative information provided by processors, scaled to reflect an </w:t>
      </w:r>
      <w:r w:rsidR="00CE0D63" w:rsidRPr="00642952">
        <w:t>‘</w:t>
      </w:r>
      <w:r w:rsidRPr="00642952">
        <w:t>average</w:t>
      </w:r>
      <w:r w:rsidR="00CE0D63" w:rsidRPr="00642952">
        <w:t xml:space="preserve">’ </w:t>
      </w:r>
      <w:r w:rsidRPr="00642952">
        <w:t>plant operating at commercial throughput levels, maintaining realistic relationships between throughput, labour and operating costs. This approach enables comparison on a consistent basis, without attributing results to individual firms or facilities.</w:t>
      </w:r>
    </w:p>
    <w:p w14:paraId="4EE7B3F1" w14:textId="555E5396" w:rsidR="008656A7" w:rsidRPr="00642952" w:rsidRDefault="008656A7" w:rsidP="00EF5EA9">
      <w:pPr>
        <w:pStyle w:val="Heading5"/>
      </w:pPr>
      <w:r w:rsidRPr="00642952">
        <w:t xml:space="preserve">Alternative </w:t>
      </w:r>
      <w:r w:rsidRPr="00EF5EA9">
        <w:t>scenarios</w:t>
      </w:r>
    </w:p>
    <w:p w14:paraId="29EF061C" w14:textId="77777777" w:rsidR="008656A7" w:rsidRPr="00642952" w:rsidRDefault="008656A7" w:rsidP="008656A7">
      <w:r w:rsidRPr="00642952">
        <w:t>Two argon scenarios and one electrical stunning scenario are modelled, reflecting the range of possible system configurations and associated costs:</w:t>
      </w:r>
    </w:p>
    <w:p w14:paraId="365699AD" w14:textId="77777777" w:rsidR="00C557A4" w:rsidRPr="00642952" w:rsidRDefault="00C557A4" w:rsidP="000013AD">
      <w:pPr>
        <w:pStyle w:val="ListParagraph"/>
        <w:numPr>
          <w:ilvl w:val="0"/>
          <w:numId w:val="27"/>
        </w:numPr>
      </w:pPr>
      <w:r w:rsidRPr="00642952">
        <w:rPr>
          <w:b/>
          <w:bCs/>
        </w:rPr>
        <w:t>Argon with added capacity:</w:t>
      </w:r>
      <w:r w:rsidRPr="00642952">
        <w:t xml:space="preserve"> Replaces CO</w:t>
      </w:r>
      <w:r w:rsidRPr="00642952">
        <w:rPr>
          <w:rFonts w:ascii="Cambria Math" w:hAnsi="Cambria Math" w:cs="Cambria Math"/>
        </w:rPr>
        <w:t>₂</w:t>
      </w:r>
      <w:r w:rsidRPr="00642952">
        <w:t xml:space="preserve"> with argon </w:t>
      </w:r>
      <w:r w:rsidRPr="00642952">
        <w:rPr>
          <w:b/>
          <w:bCs/>
        </w:rPr>
        <w:t>and</w:t>
      </w:r>
      <w:r w:rsidRPr="00642952">
        <w:t xml:space="preserve"> installs additional capacity (for example, an extra Butina system) to offset the expected reduction in pigs per hour. This keeps annual kill broadly constant, reflecting stakeholder feedback that materially reducing total throughput is not viable given supply chain impacts. The model includes the added capital and operating implications of the extra capacity.</w:t>
      </w:r>
    </w:p>
    <w:p w14:paraId="33523FE4" w14:textId="3D88D200" w:rsidR="00C557A4" w:rsidRPr="00642952" w:rsidRDefault="00C557A4" w:rsidP="000013AD">
      <w:pPr>
        <w:pStyle w:val="ListParagraph"/>
        <w:numPr>
          <w:ilvl w:val="0"/>
          <w:numId w:val="27"/>
        </w:numPr>
      </w:pPr>
      <w:r w:rsidRPr="00642952">
        <w:rPr>
          <w:b/>
          <w:bCs/>
        </w:rPr>
        <w:t xml:space="preserve">Argon with no additional capacity: </w:t>
      </w:r>
      <w:r w:rsidRPr="00642952">
        <w:t>Replaces CO</w:t>
      </w:r>
      <w:r w:rsidRPr="00642952">
        <w:rPr>
          <w:rFonts w:ascii="Cambria Math" w:hAnsi="Cambria Math" w:cs="Cambria Math"/>
        </w:rPr>
        <w:t>₂</w:t>
      </w:r>
      <w:r w:rsidRPr="00642952">
        <w:t xml:space="preserve"> with argon but does not add capacity, instead extending hours to maintain annual output (an overtime adjustment is applied). Stakeholders highlighted major practical barriers to extending operating hours, but this scenario is included for comparison and to show the cost consequences of operating without additional capacity</w:t>
      </w:r>
      <w:r w:rsidR="00752256" w:rsidRPr="00642952">
        <w:t>.</w:t>
      </w:r>
    </w:p>
    <w:p w14:paraId="7569D096" w14:textId="77777777" w:rsidR="00C557A4" w:rsidRPr="00642952" w:rsidRDefault="00C557A4" w:rsidP="000013AD">
      <w:pPr>
        <w:pStyle w:val="ListParagraph"/>
        <w:numPr>
          <w:ilvl w:val="0"/>
          <w:numId w:val="27"/>
        </w:numPr>
      </w:pPr>
      <w:r w:rsidRPr="00642952">
        <w:rPr>
          <w:b/>
          <w:bCs/>
        </w:rPr>
        <w:t>Electrical stunning:</w:t>
      </w:r>
      <w:r w:rsidRPr="00642952">
        <w:t xml:space="preserve"> Full conversion to an electrical stunning system, removing the CO</w:t>
      </w:r>
      <w:r w:rsidRPr="00642952">
        <w:rPr>
          <w:rFonts w:ascii="Cambria Math" w:hAnsi="Cambria Math" w:cs="Cambria Math"/>
        </w:rPr>
        <w:t>₂</w:t>
      </w:r>
      <w:r w:rsidRPr="00642952">
        <w:t xml:space="preserve"> line and installing electrical stunner(s) with layout and space modifications for handling and restraint. </w:t>
      </w:r>
    </w:p>
    <w:p w14:paraId="0E58E6CA" w14:textId="77777777" w:rsidR="001803B8" w:rsidRDefault="00C557A4" w:rsidP="00C557A4">
      <w:r w:rsidRPr="00642952">
        <w:t>All alternatives are compared against the same CO</w:t>
      </w:r>
      <w:r w:rsidRPr="00642952">
        <w:rPr>
          <w:rFonts w:ascii="Cambria Math" w:hAnsi="Cambria Math" w:cs="Cambria Math"/>
        </w:rPr>
        <w:t>₂</w:t>
      </w:r>
      <w:r w:rsidRPr="00642952">
        <w:t xml:space="preserve"> baseline.</w:t>
      </w:r>
    </w:p>
    <w:p w14:paraId="7774049F" w14:textId="368E5B7F" w:rsidR="00C557A4" w:rsidRPr="00642952" w:rsidRDefault="00C557A4" w:rsidP="00C557A4">
      <w:r w:rsidRPr="00642952">
        <w:t>It is important to note that, unlike CO</w:t>
      </w:r>
      <w:r w:rsidRPr="00642952">
        <w:rPr>
          <w:rFonts w:ascii="Cambria Math" w:hAnsi="Cambria Math" w:cs="Cambria Math"/>
        </w:rPr>
        <w:t>₂</w:t>
      </w:r>
      <w:r w:rsidRPr="00642952">
        <w:t xml:space="preserve"> systems, there are currently no commercially proven, large-scale argon (or other inert gas) stunning systems in routine use for pig slaughter. The argon scenarios are therefore necessarily based on experimental and pilot-scale evidence and would involve a degree of first-mover financial risk for any processor implementing them at commercial scale. </w:t>
      </w:r>
    </w:p>
    <w:p w14:paraId="51F19F5E" w14:textId="73CDA848" w:rsidR="006021CE" w:rsidRPr="00642952" w:rsidRDefault="00DD4163" w:rsidP="00EF5EA9">
      <w:pPr>
        <w:pStyle w:val="Heading4"/>
      </w:pPr>
      <w:r w:rsidRPr="00642952">
        <w:t>2.2.3</w:t>
      </w:r>
      <w:r w:rsidR="006021CE" w:rsidRPr="00642952">
        <w:t xml:space="preserve"> Sensitivity analysis</w:t>
      </w:r>
    </w:p>
    <w:p w14:paraId="08DB5C8B" w14:textId="77777777" w:rsidR="002C4C93" w:rsidRDefault="006021CE" w:rsidP="006021CE">
      <w:r w:rsidRPr="00642952">
        <w:t>The model incorporates structured sensitivity analysis to reflect uncertainty in the impacts of alternatives.</w:t>
      </w:r>
    </w:p>
    <w:p w14:paraId="2B407B93" w14:textId="2C7B14D8" w:rsidR="006021CE" w:rsidRPr="00642952" w:rsidRDefault="006021CE" w:rsidP="006021CE">
      <w:r w:rsidRPr="00642952">
        <w:t>Three variant sets of assumptions are defined for each model parameter for argon and electrical stunning impacts:</w:t>
      </w:r>
    </w:p>
    <w:p w14:paraId="63D177E4" w14:textId="44ED171A" w:rsidR="006021CE" w:rsidRPr="00642952" w:rsidRDefault="006021CE" w:rsidP="000013AD">
      <w:pPr>
        <w:pStyle w:val="ListParagraph"/>
        <w:numPr>
          <w:ilvl w:val="0"/>
          <w:numId w:val="28"/>
        </w:numPr>
      </w:pPr>
      <w:r w:rsidRPr="00642952">
        <w:rPr>
          <w:b/>
          <w:bCs/>
        </w:rPr>
        <w:t>Central (best estimate)</w:t>
      </w:r>
      <w:r w:rsidRPr="00642952">
        <w:t xml:space="preserve"> – based on the most plausible or median value derived from literature and interviews</w:t>
      </w:r>
    </w:p>
    <w:p w14:paraId="75F14D3A" w14:textId="569C16C3" w:rsidR="006021CE" w:rsidRPr="00642952" w:rsidRDefault="006021CE" w:rsidP="000013AD">
      <w:pPr>
        <w:pStyle w:val="ListParagraph"/>
        <w:numPr>
          <w:ilvl w:val="0"/>
          <w:numId w:val="28"/>
        </w:numPr>
      </w:pPr>
      <w:r w:rsidRPr="00642952">
        <w:rPr>
          <w:b/>
          <w:bCs/>
        </w:rPr>
        <w:t>Optimistic (low-cost)</w:t>
      </w:r>
      <w:r w:rsidRPr="00642952">
        <w:t xml:space="preserve"> – assumes parameters favourable to lower costs (for example, smaller throughput losses, or lower capital costs)</w:t>
      </w:r>
    </w:p>
    <w:p w14:paraId="452C9D63" w14:textId="3D221A45" w:rsidR="006021CE" w:rsidRPr="00642952" w:rsidRDefault="006021CE" w:rsidP="000013AD">
      <w:pPr>
        <w:pStyle w:val="ListParagraph"/>
        <w:numPr>
          <w:ilvl w:val="0"/>
          <w:numId w:val="28"/>
        </w:numPr>
      </w:pPr>
      <w:r w:rsidRPr="00642952">
        <w:rPr>
          <w:b/>
          <w:bCs/>
        </w:rPr>
        <w:t>Pessimistic (high-cost)</w:t>
      </w:r>
      <w:r w:rsidRPr="00642952">
        <w:t xml:space="preserve"> – assumes parameters likely to increase costs (for example, longer downtime, larger throughput penalties, or higher energy use)</w:t>
      </w:r>
    </w:p>
    <w:p w14:paraId="5B9EA76B" w14:textId="2E7A1D02" w:rsidR="006021CE" w:rsidRPr="00642952" w:rsidRDefault="006021CE" w:rsidP="006021CE">
      <w:r w:rsidRPr="00642952">
        <w:t>For the baseline CO</w:t>
      </w:r>
      <w:r w:rsidRPr="00642952">
        <w:rPr>
          <w:rFonts w:ascii="Cambria Math" w:hAnsi="Cambria Math" w:cs="Cambria Math"/>
        </w:rPr>
        <w:t>₂</w:t>
      </w:r>
      <w:r w:rsidRPr="00642952">
        <w:t xml:space="preserve"> system, results are presented for a </w:t>
      </w:r>
      <w:r w:rsidR="00DE12F9" w:rsidRPr="00642952">
        <w:t>‘</w:t>
      </w:r>
      <w:r w:rsidRPr="00642952">
        <w:t>central</w:t>
      </w:r>
      <w:r w:rsidRPr="00642952">
        <w:rPr>
          <w:b/>
          <w:bCs/>
        </w:rPr>
        <w:t xml:space="preserve"> </w:t>
      </w:r>
      <w:r w:rsidRPr="00642952">
        <w:t>case</w:t>
      </w:r>
      <w:r w:rsidR="00DE12F9" w:rsidRPr="00642952">
        <w:t xml:space="preserve">’, </w:t>
      </w:r>
      <w:r w:rsidRPr="00642952">
        <w:t xml:space="preserve">but </w:t>
      </w:r>
      <w:r w:rsidR="00BB1CE0" w:rsidRPr="00642952">
        <w:t>‘</w:t>
      </w:r>
      <w:r w:rsidRPr="00642952">
        <w:t>low</w:t>
      </w:r>
      <w:r w:rsidR="00DE12F9" w:rsidRPr="00642952">
        <w:t xml:space="preserve">’ </w:t>
      </w:r>
      <w:r w:rsidRPr="00642952">
        <w:t xml:space="preserve">and </w:t>
      </w:r>
      <w:r w:rsidR="00BB1CE0" w:rsidRPr="00642952">
        <w:t>‘</w:t>
      </w:r>
      <w:r w:rsidRPr="00642952">
        <w:t>high</w:t>
      </w:r>
      <w:r w:rsidR="00BB1CE0" w:rsidRPr="00642952">
        <w:t xml:space="preserve">’ </w:t>
      </w:r>
      <w:r w:rsidRPr="00642952">
        <w:t xml:space="preserve">variants of the baseline (based on smaller/larger notional sites) have been calibrated and can be used to illustrate the impact of operating scale. </w:t>
      </w:r>
    </w:p>
    <w:p w14:paraId="11C92AAE" w14:textId="66AEC2CF" w:rsidR="00DD4163" w:rsidRPr="00642952" w:rsidRDefault="005079E2" w:rsidP="0073042C">
      <w:pPr>
        <w:pStyle w:val="Heading4"/>
      </w:pPr>
      <w:r w:rsidRPr="00642952">
        <w:lastRenderedPageBreak/>
        <w:t>2.2.4 Unquantified costs and limitations</w:t>
      </w:r>
    </w:p>
    <w:p w14:paraId="11C6A339" w14:textId="77777777" w:rsidR="00D30741" w:rsidRPr="00642952" w:rsidRDefault="00D30741" w:rsidP="00D30741">
      <w:r w:rsidRPr="00642952">
        <w:t>Some cost elements fall outside the model scope or could not be quantified due to data limitations. These include:</w:t>
      </w:r>
    </w:p>
    <w:p w14:paraId="0C707809" w14:textId="1DB7B3D7" w:rsidR="00D30741" w:rsidRPr="00642952" w:rsidRDefault="00D30741" w:rsidP="000013AD">
      <w:pPr>
        <w:pStyle w:val="ListParagraph"/>
        <w:numPr>
          <w:ilvl w:val="0"/>
          <w:numId w:val="30"/>
        </w:numPr>
      </w:pPr>
      <w:r w:rsidRPr="00642952">
        <w:rPr>
          <w:b/>
          <w:bCs/>
        </w:rPr>
        <w:t>Export impacts</w:t>
      </w:r>
      <w:r w:rsidRPr="00642952">
        <w:t xml:space="preserve"> – potential effects on market access or price differentials associated with changes in meat quality or specification</w:t>
      </w:r>
    </w:p>
    <w:p w14:paraId="51B998D5" w14:textId="2B7AF7FA" w:rsidR="00D30741" w:rsidRPr="00642952" w:rsidRDefault="00D30741" w:rsidP="000013AD">
      <w:pPr>
        <w:pStyle w:val="ListParagraph"/>
        <w:numPr>
          <w:ilvl w:val="0"/>
          <w:numId w:val="30"/>
        </w:numPr>
      </w:pPr>
      <w:r w:rsidRPr="00642952">
        <w:rPr>
          <w:b/>
          <w:bCs/>
        </w:rPr>
        <w:t>Pig diversion costs</w:t>
      </w:r>
      <w:r w:rsidRPr="00642952">
        <w:t xml:space="preserve"> – temporary costs from redirecting animals to other sites during installation or downtime</w:t>
      </w:r>
    </w:p>
    <w:p w14:paraId="5828F99F" w14:textId="259F83B3" w:rsidR="00D30741" w:rsidRPr="00642952" w:rsidRDefault="00D30741" w:rsidP="000013AD">
      <w:pPr>
        <w:pStyle w:val="ListParagraph"/>
        <w:numPr>
          <w:ilvl w:val="0"/>
          <w:numId w:val="30"/>
        </w:numPr>
      </w:pPr>
      <w:r w:rsidRPr="00642952">
        <w:rPr>
          <w:b/>
          <w:bCs/>
        </w:rPr>
        <w:t>Additional costs for extending operating hours</w:t>
      </w:r>
      <w:r w:rsidR="00E72C90">
        <w:rPr>
          <w:b/>
          <w:bCs/>
        </w:rPr>
        <w:t xml:space="preserve"> </w:t>
      </w:r>
      <w:r w:rsidR="00E72C90" w:rsidRPr="00E72C90">
        <w:t>– t</w:t>
      </w:r>
      <w:r w:rsidRPr="00642952">
        <w:t>he extended hours scenario would likely incur additional costs</w:t>
      </w:r>
      <w:r w:rsidR="00E61D9F" w:rsidRPr="00642952">
        <w:t>,</w:t>
      </w:r>
      <w:r w:rsidRPr="00642952">
        <w:t xml:space="preserve"> including:</w:t>
      </w:r>
    </w:p>
    <w:p w14:paraId="36FD2539" w14:textId="286DCCFE" w:rsidR="00D30741" w:rsidRPr="00642952" w:rsidRDefault="00D30741" w:rsidP="000013AD">
      <w:pPr>
        <w:numPr>
          <w:ilvl w:val="1"/>
          <w:numId w:val="31"/>
        </w:numPr>
      </w:pPr>
      <w:r w:rsidRPr="00642952">
        <w:t>FSA inspection cost and other regulatory constraints (permits/access hours)</w:t>
      </w:r>
    </w:p>
    <w:p w14:paraId="2889DB18" w14:textId="77777777" w:rsidR="00D30741" w:rsidRPr="00642952" w:rsidRDefault="00D30741" w:rsidP="000013AD">
      <w:pPr>
        <w:numPr>
          <w:ilvl w:val="1"/>
          <w:numId w:val="31"/>
        </w:numPr>
      </w:pPr>
      <w:r w:rsidRPr="00642952">
        <w:t>Additional costs for labour and energy for extended chilling, cutting and butchery</w:t>
      </w:r>
    </w:p>
    <w:p w14:paraId="4BA6E3F6" w14:textId="175DEF1D" w:rsidR="00D30741" w:rsidRPr="00642952" w:rsidRDefault="00D30741" w:rsidP="000013AD">
      <w:pPr>
        <w:pStyle w:val="ListParagraph"/>
        <w:numPr>
          <w:ilvl w:val="0"/>
          <w:numId w:val="30"/>
        </w:numPr>
      </w:pPr>
      <w:r w:rsidRPr="00642952">
        <w:rPr>
          <w:b/>
          <w:bCs/>
        </w:rPr>
        <w:t>Site-specific relocation costs</w:t>
      </w:r>
      <w:r w:rsidRPr="00642952">
        <w:t xml:space="preserve"> – costs that would arise only in certain facilities if new equipment could not be accommodated within the existing footprint</w:t>
      </w:r>
    </w:p>
    <w:p w14:paraId="6226682C" w14:textId="2068BB18" w:rsidR="005079E2" w:rsidRPr="00642952" w:rsidRDefault="00D30741" w:rsidP="00C557A4">
      <w:r w:rsidRPr="00642952">
        <w:t xml:space="preserve">The latter are outside the defined scope of this project, while export impacts, diversion costs and costs associated with extending operating hours that sit outside the core stunning process could not be quantified due to a lack of robust data. These costs are discussed qualitatively in Chapter </w:t>
      </w:r>
      <w:r w:rsidRPr="00642952">
        <w:fldChar w:fldCharType="begin"/>
      </w:r>
      <w:r w:rsidRPr="00642952">
        <w:instrText xml:space="preserve"> REF _Ref211602651 \r \h </w:instrText>
      </w:r>
      <w:r w:rsidRPr="00642952">
        <w:fldChar w:fldCharType="separate"/>
      </w:r>
      <w:r w:rsidRPr="00642952">
        <w:t>5</w:t>
      </w:r>
      <w:r w:rsidRPr="00642952">
        <w:fldChar w:fldCharType="end"/>
      </w:r>
      <w:r w:rsidRPr="00642952">
        <w:t xml:space="preserve">. </w:t>
      </w:r>
    </w:p>
    <w:p w14:paraId="7A0E5672" w14:textId="7B5CC635" w:rsidR="00A10CEC" w:rsidRPr="00642952" w:rsidRDefault="00D22563" w:rsidP="00A10CEC">
      <w:pPr>
        <w:pStyle w:val="Heading2"/>
      </w:pPr>
      <w:bookmarkStart w:id="18" w:name="_Toc224553237"/>
      <w:r w:rsidRPr="00642952">
        <w:t xml:space="preserve">3 </w:t>
      </w:r>
      <w:r w:rsidR="00636F46" w:rsidRPr="00642952">
        <w:t xml:space="preserve">Evidence from literature </w:t>
      </w:r>
      <w:r w:rsidR="006A1334" w:rsidRPr="00642952">
        <w:t>and stakeholders</w:t>
      </w:r>
      <w:bookmarkEnd w:id="18"/>
    </w:p>
    <w:p w14:paraId="339CCF6D" w14:textId="77777777" w:rsidR="00004C57" w:rsidRPr="00642952" w:rsidRDefault="00004C57" w:rsidP="00004C57">
      <w:r w:rsidRPr="00642952">
        <w:t xml:space="preserve">This chapter summarises the evidence the study gathered from our literature review and stakeholder engagement. </w:t>
      </w:r>
    </w:p>
    <w:p w14:paraId="7F2AEDF7" w14:textId="0C0D4E1F" w:rsidR="00004C57" w:rsidRPr="00642952" w:rsidRDefault="00004C57" w:rsidP="0073042C">
      <w:pPr>
        <w:pStyle w:val="Heading3"/>
      </w:pPr>
      <w:bookmarkStart w:id="19" w:name="_Toc224553238"/>
      <w:r w:rsidRPr="00642952">
        <w:t>3.1 Weight given to evidence source</w:t>
      </w:r>
      <w:bookmarkEnd w:id="19"/>
    </w:p>
    <w:p w14:paraId="5A0814E4" w14:textId="2B25192E" w:rsidR="00277D42" w:rsidRDefault="006E554B" w:rsidP="006E554B">
      <w:r w:rsidRPr="00642952">
        <w:t>For parameters that drive costs in UK plants, we place greater weight on UK industry stakeholder evidence than on published European studies. Our weighting reflects two considerations.</w:t>
      </w:r>
    </w:p>
    <w:p w14:paraId="1F8625D4" w14:textId="77777777" w:rsidR="00C65F94" w:rsidRDefault="006E554B" w:rsidP="006E554B">
      <w:r w:rsidRPr="00642952">
        <w:t>First, the PigStun programme already documents detailed parameters and costs for European cases. We use PigStun to establish mechanisms and plausible ranges, and to cross-check our assumptions. Second, transferability to the UK is limited in certain respects. While some throughput-driven operating parameters may be similar per pig across countries, fixed and semi-fixed costs often are not.</w:t>
      </w:r>
    </w:p>
    <w:p w14:paraId="236DECA0" w14:textId="7560D988" w:rsidR="006E554B" w:rsidRPr="00642952" w:rsidRDefault="006E554B" w:rsidP="006E554B">
      <w:r w:rsidRPr="00642952">
        <w:t>European sites in the literature are often larger than typical UK plants. Per-pig capital and other fixed costs in those studies can therefore look lower because they are spread over higher volumes. In addition, UK-specific factors also matter for capital costs and feasibility regardless of throughput – for example</w:t>
      </w:r>
      <w:r w:rsidR="00E23AFC" w:rsidRPr="00642952">
        <w:t>,</w:t>
      </w:r>
      <w:r w:rsidRPr="00642952">
        <w:t xml:space="preserve"> available footprint, the need to reconfigure handling and bleed areas within existing buildings, working patterns and inspection coverage, and retailer requirements.</w:t>
      </w:r>
    </w:p>
    <w:p w14:paraId="4B1B7F68" w14:textId="7ECA2993" w:rsidR="006E554B" w:rsidRPr="00642952" w:rsidRDefault="006E554B" w:rsidP="006E554B">
      <w:r w:rsidRPr="00642952">
        <w:t>Accordingly, we anchor central inputs in UK stakeholder evidence for layout feasibility, staffing, working hours, maintenance practice and practical downtime windows, with triangulation against PigStun estimates. Where UK-specific evidence is not available, we draw on PigStun to set ranges and mechanisms and translate them to UK prices and volumes</w:t>
      </w:r>
      <w:r w:rsidR="00F062A4" w:rsidRPr="00642952">
        <w:t>.</w:t>
      </w:r>
    </w:p>
    <w:p w14:paraId="78F384FB" w14:textId="54FCEF06" w:rsidR="006E554B" w:rsidRPr="00642952" w:rsidRDefault="006E554B" w:rsidP="006E554B">
      <w:r w:rsidRPr="00642952">
        <w:t xml:space="preserve">There are, however, important gaps. No UK site has yet implemented argon, CAS or improved electrical stunning at commercial scale. </w:t>
      </w:r>
      <w:r w:rsidR="00D756C3">
        <w:t>Again, w</w:t>
      </w:r>
      <w:r w:rsidRPr="00642952">
        <w:t>here UK-specific evidence is not available, we draw on European literature to set plausible mechanisms and ranges, then translate to UK prices and plant scales. In these cases, we:</w:t>
      </w:r>
    </w:p>
    <w:p w14:paraId="314186F9" w14:textId="67BE3EAE" w:rsidR="006E554B" w:rsidRPr="00642952" w:rsidRDefault="00F35448" w:rsidP="000013AD">
      <w:pPr>
        <w:pStyle w:val="ListParagraph"/>
        <w:numPr>
          <w:ilvl w:val="0"/>
          <w:numId w:val="32"/>
        </w:numPr>
      </w:pPr>
      <w:r w:rsidRPr="00642952">
        <w:lastRenderedPageBreak/>
        <w:t>U</w:t>
      </w:r>
      <w:r w:rsidR="006E554B" w:rsidRPr="00642952">
        <w:t>se literature values as ranges rather than single points</w:t>
      </w:r>
    </w:p>
    <w:p w14:paraId="39E3C69D" w14:textId="6D795DDF" w:rsidR="006E554B" w:rsidRPr="00642952" w:rsidRDefault="00F35448" w:rsidP="000013AD">
      <w:pPr>
        <w:pStyle w:val="ListParagraph"/>
        <w:numPr>
          <w:ilvl w:val="0"/>
          <w:numId w:val="32"/>
        </w:numPr>
      </w:pPr>
      <w:r w:rsidRPr="00642952">
        <w:t>A</w:t>
      </w:r>
      <w:r w:rsidR="006E554B" w:rsidRPr="00642952">
        <w:t>djust for UK scale where fixed costs are likely to bite harder</w:t>
      </w:r>
    </w:p>
    <w:p w14:paraId="72474BCD" w14:textId="6E8D5B16" w:rsidR="006E554B" w:rsidRPr="00642952" w:rsidRDefault="00F35448" w:rsidP="000013AD">
      <w:pPr>
        <w:pStyle w:val="ListParagraph"/>
        <w:numPr>
          <w:ilvl w:val="0"/>
          <w:numId w:val="32"/>
        </w:numPr>
      </w:pPr>
      <w:r w:rsidRPr="00642952">
        <w:t xml:space="preserve">Test </w:t>
      </w:r>
      <w:r w:rsidR="006E554B" w:rsidRPr="00642952">
        <w:t>central, optimistic and pessimistic cases to show how rankings could change</w:t>
      </w:r>
    </w:p>
    <w:p w14:paraId="3433DE5A" w14:textId="67276CFF" w:rsidR="006E554B" w:rsidRPr="00642952" w:rsidRDefault="006E554B" w:rsidP="006E554B">
      <w:r w:rsidRPr="00642952">
        <w:t xml:space="preserve">Some elements remain uncertain and are handled transparently. </w:t>
      </w:r>
      <w:proofErr w:type="gramStart"/>
      <w:r w:rsidRPr="00642952">
        <w:t>In particular, public</w:t>
      </w:r>
      <w:proofErr w:type="gramEnd"/>
      <w:r w:rsidRPr="00642952">
        <w:t xml:space="preserve"> and stakeholder evidence on installation downtime is mixed and site-specific. Our capital cost estimates are converted into an equivalent per-pig annual cost (</w:t>
      </w:r>
      <w:r w:rsidR="00FF01D2" w:rsidRPr="00642952">
        <w:t>‘</w:t>
      </w:r>
      <w:r w:rsidRPr="00642952">
        <w:t>annuiti</w:t>
      </w:r>
      <w:r w:rsidR="008B3C8B" w:rsidRPr="00642952">
        <w:t>s</w:t>
      </w:r>
      <w:r w:rsidRPr="00642952">
        <w:t>ed capex</w:t>
      </w:r>
      <w:r w:rsidR="00FF01D2" w:rsidRPr="00642952">
        <w:t xml:space="preserve">’) </w:t>
      </w:r>
      <w:r w:rsidRPr="00642952">
        <w:t>that excludes lost-production costs, so we report indicative downtime ranges and signpost that any shutdown could entail material additional costs not captured in per-pig annuity results. We return to these uncertainties in the results chapter and explain what would need to be true for conclusions to change.</w:t>
      </w:r>
    </w:p>
    <w:p w14:paraId="22EC8830" w14:textId="77777777" w:rsidR="00982A85" w:rsidRDefault="006E554B" w:rsidP="006E554B">
      <w:r w:rsidRPr="00642952">
        <w:t>Finally, we note that the welfare implications of alternative systems are a matter of debate that sit beyond the scope of this study. Stakeholders stressed that decisions about stunning systems should be grounded in evidence on the welfare impacts of the entire slaughter process rather than the induction phase alone. Several respondents questioned how far current literature, which often focuses on gas exposure, captures the welfare implications of pre-stun handling, restraint and re-stunning at high commercial throughputs in UK-style plants.</w:t>
      </w:r>
    </w:p>
    <w:p w14:paraId="27853180" w14:textId="489FAC7D" w:rsidR="00982A85" w:rsidRPr="00642952" w:rsidRDefault="006E554B" w:rsidP="006E554B">
      <w:r w:rsidRPr="00642952">
        <w:t>We report welfare findings from the literature alongside stakeholder commentary in Chapter 5, without offering an overall welfare ranking between systems</w:t>
      </w:r>
      <w:r w:rsidR="00C63E71" w:rsidRPr="00642952">
        <w:t>.</w:t>
      </w:r>
    </w:p>
    <w:p w14:paraId="028D93A6" w14:textId="03ED19BA" w:rsidR="008672BB" w:rsidRPr="00642952" w:rsidRDefault="003646B7" w:rsidP="0073042C">
      <w:pPr>
        <w:pStyle w:val="Heading3"/>
      </w:pPr>
      <w:bookmarkStart w:id="20" w:name="_Toc224553239"/>
      <w:r w:rsidRPr="00642952">
        <w:t>3.2 Evidence from the literature</w:t>
      </w:r>
      <w:bookmarkEnd w:id="20"/>
    </w:p>
    <w:p w14:paraId="7DBFA3D9" w14:textId="77777777" w:rsidR="007743E6" w:rsidRPr="00642952" w:rsidRDefault="007743E6" w:rsidP="007743E6">
      <w:r w:rsidRPr="00642952">
        <w:t>This section summarises key information collected from literature on operating parameters, resources, capital needs and costs for alternatives to high-concentration CO</w:t>
      </w:r>
      <w:r w:rsidRPr="00642952">
        <w:rPr>
          <w:vertAlign w:val="subscript"/>
        </w:rPr>
        <w:t>2</w:t>
      </w:r>
      <w:r w:rsidRPr="00642952">
        <w:t xml:space="preserve">. Key figures below are indicative ranges from PigStun, the most recent and relevant study for our purposes.  </w:t>
      </w:r>
    </w:p>
    <w:p w14:paraId="3F91A6B4" w14:textId="77777777" w:rsidR="00F525B3" w:rsidRPr="00642952" w:rsidRDefault="00F525B3" w:rsidP="0073042C">
      <w:pPr>
        <w:pStyle w:val="Heading4"/>
      </w:pPr>
      <w:r w:rsidRPr="00642952">
        <w:t>Throughput impact</w:t>
      </w:r>
    </w:p>
    <w:p w14:paraId="5CB12997" w14:textId="77777777" w:rsidR="00544FD0" w:rsidRDefault="0088017D" w:rsidP="0088017D">
      <w:r w:rsidRPr="00642952">
        <w:t>Throughput is a primary driver of cost in our model, so these parameters feed directly into scenario design and sensitivities.</w:t>
      </w:r>
    </w:p>
    <w:p w14:paraId="4C280EEE" w14:textId="3FEC3CC6" w:rsidR="0088017D" w:rsidRPr="00642952" w:rsidRDefault="0088017D" w:rsidP="0088017D">
      <w:r w:rsidRPr="00642952">
        <w:t>PigStun found that argon systems achieved a throughput multiplier of about 0.6 vs CO</w:t>
      </w:r>
      <w:r w:rsidRPr="00642952">
        <w:rPr>
          <w:vertAlign w:val="subscript"/>
        </w:rPr>
        <w:t>2</w:t>
      </w:r>
      <w:r w:rsidRPr="00642952">
        <w:t xml:space="preserve"> (i.e. around 40</w:t>
      </w:r>
      <w:r w:rsidR="000C4CA2" w:rsidRPr="00642952">
        <w:t xml:space="preserve">% </w:t>
      </w:r>
      <w:r w:rsidRPr="00642952">
        <w:t xml:space="preserve">lower throughput per stunner). As noted in Section </w:t>
      </w:r>
      <w:r w:rsidRPr="00642952">
        <w:fldChar w:fldCharType="begin"/>
      </w:r>
      <w:r w:rsidRPr="00642952">
        <w:instrText xml:space="preserve"> REF _Ref214219497 \r \h </w:instrText>
      </w:r>
      <w:r w:rsidRPr="00642952">
        <w:fldChar w:fldCharType="separate"/>
      </w:r>
      <w:r w:rsidRPr="00642952">
        <w:t>1</w:t>
      </w:r>
      <w:r w:rsidRPr="00642952">
        <w:fldChar w:fldCharType="end"/>
      </w:r>
      <w:r w:rsidRPr="00642952">
        <w:t>, the WATOK Regulations in Great Britain require high-concentration gas systems using CO</w:t>
      </w:r>
      <w:r w:rsidRPr="00642952">
        <w:rPr>
          <w:rFonts w:ascii="Cambria Math" w:hAnsi="Cambria Math" w:cs="Cambria Math"/>
        </w:rPr>
        <w:t>₂</w:t>
      </w:r>
      <w:r w:rsidRPr="00642952">
        <w:t xml:space="preserve"> to operate on a stun-to-kill basis, with pigs remaining in the gas until dead. If any future argon systems in Great Britain were required to operate on a similar stun-to-kill basis, longer exposure times than those tested in PigStun would likely be needed, implying lower achievable throughput than the 0.6 multiplier observed under EU stun-to-stun conditions. This means that our central argon throughput assumption is likely to represent an upper bound on capacity in a UK stun-to-kill setting.</w:t>
      </w:r>
    </w:p>
    <w:p w14:paraId="37D19B33" w14:textId="26610165" w:rsidR="0088017D" w:rsidRPr="00642952" w:rsidRDefault="0088017D" w:rsidP="0088017D">
      <w:r w:rsidRPr="00642952">
        <w:t>For electrical stunning, similar throughput rates to CO</w:t>
      </w:r>
      <w:r w:rsidRPr="00642952">
        <w:rPr>
          <w:vertAlign w:val="subscript"/>
        </w:rPr>
        <w:t xml:space="preserve">2 </w:t>
      </w:r>
      <w:r w:rsidRPr="00642952">
        <w:t xml:space="preserve">were achieved by employing multiple parallel stunners in the </w:t>
      </w:r>
      <w:r w:rsidR="001D133B" w:rsidRPr="00642952">
        <w:t>‘</w:t>
      </w:r>
      <w:r w:rsidRPr="00642952">
        <w:t>improved electrical stunning</w:t>
      </w:r>
      <w:r w:rsidR="001D133B" w:rsidRPr="00642952">
        <w:t xml:space="preserve">’ </w:t>
      </w:r>
      <w:r w:rsidRPr="00642952">
        <w:t>system, with four lines running at 170 pigs per hour each for 680 pigs per hour total at the case study site. In theory, therefore, an electrical stunning system can achieve the same throughput as CO</w:t>
      </w:r>
      <w:r w:rsidRPr="00642952">
        <w:rPr>
          <w:vertAlign w:val="subscript"/>
        </w:rPr>
        <w:t xml:space="preserve">2 </w:t>
      </w:r>
      <w:r w:rsidRPr="00642952">
        <w:t xml:space="preserve">provided there is enough space for parallel stunning lines. </w:t>
      </w:r>
    </w:p>
    <w:p w14:paraId="1AFC5EA3" w14:textId="77777777" w:rsidR="0035563E" w:rsidRPr="00642952" w:rsidRDefault="0035563E" w:rsidP="0073042C">
      <w:pPr>
        <w:pStyle w:val="Heading4"/>
      </w:pPr>
      <w:r w:rsidRPr="00642952">
        <w:t>Resource use and unit prices</w:t>
      </w:r>
    </w:p>
    <w:p w14:paraId="5EC76183" w14:textId="77777777" w:rsidR="0035563E" w:rsidRPr="00642952" w:rsidRDefault="0035563E" w:rsidP="0035563E">
      <w:r w:rsidRPr="00642952">
        <w:t>A key input taken from PigStun was the cost of argon, which was assumed in that study to be four to six times the price of CO</w:t>
      </w:r>
      <w:r w:rsidRPr="00680A04">
        <w:rPr>
          <w:vertAlign w:val="subscript"/>
        </w:rPr>
        <w:t>2</w:t>
      </w:r>
      <w:r w:rsidRPr="00642952">
        <w:t xml:space="preserve"> on a per-kg basis. Like PigStun, we assume a 5x multiplier for the price of argon relative to CO</w:t>
      </w:r>
      <w:r w:rsidRPr="00642952">
        <w:rPr>
          <w:vertAlign w:val="subscript"/>
        </w:rPr>
        <w:t>2.</w:t>
      </w:r>
      <w:r w:rsidRPr="00642952">
        <w:t xml:space="preserve"> PigStun also provided per pig estimates of gas (argon or CO</w:t>
      </w:r>
      <w:r w:rsidRPr="00642952">
        <w:rPr>
          <w:vertAlign w:val="subscript"/>
        </w:rPr>
        <w:t>2</w:t>
      </w:r>
      <w:r w:rsidRPr="00642952">
        <w:t>), electricity and water usage for each of the stunning systems, which helped inform our ranges along with stakeholder input. Staffing estimates were also provided for each system.</w:t>
      </w:r>
    </w:p>
    <w:p w14:paraId="21F4D7AD" w14:textId="77777777" w:rsidR="0035563E" w:rsidRPr="00642952" w:rsidRDefault="0035563E" w:rsidP="0073042C">
      <w:pPr>
        <w:pStyle w:val="Heading4"/>
      </w:pPr>
      <w:r w:rsidRPr="00642952">
        <w:t xml:space="preserve">Capital costs and maintenance </w:t>
      </w:r>
    </w:p>
    <w:p w14:paraId="6AB42492" w14:textId="727F4B24" w:rsidR="003C0165" w:rsidRDefault="0035563E" w:rsidP="0035563E">
      <w:r w:rsidRPr="00642952">
        <w:t>For argon, retrofit investments were reported to be roughly £0.6–£1.5m; new or substantially modified installs ranged from £0.8</w:t>
      </w:r>
      <w:r w:rsidR="0008570F" w:rsidRPr="00642952">
        <w:t>m to £</w:t>
      </w:r>
      <w:r w:rsidRPr="00642952">
        <w:t>2.7m.</w:t>
      </w:r>
    </w:p>
    <w:p w14:paraId="4902CFB4" w14:textId="427DD411" w:rsidR="0035563E" w:rsidRPr="00642952" w:rsidRDefault="0035563E" w:rsidP="0035563E">
      <w:r w:rsidRPr="00642952">
        <w:lastRenderedPageBreak/>
        <w:t>The study expressed maintenance for the new equipment as a share of capex at 7.6–12.9</w:t>
      </w:r>
      <w:r w:rsidR="000C4CA2" w:rsidRPr="00642952">
        <w:t>%</w:t>
      </w:r>
      <w:r w:rsidRPr="00642952">
        <w:t xml:space="preserve"> per year. For electrical stunning, equipment for four stunners was estimated at around £1.96m, with some cases requiring an additional £2.6m for building or space modifications where additional raceways and sticking lines are required. Maintenance was estimated at 2</w:t>
      </w:r>
      <w:r w:rsidR="004B03A4" w:rsidRPr="00642952">
        <w:t>%</w:t>
      </w:r>
      <w:r w:rsidRPr="00642952">
        <w:t xml:space="preserve"> of install cost.</w:t>
      </w:r>
    </w:p>
    <w:p w14:paraId="0BE70DA7" w14:textId="773A6D04" w:rsidR="0035563E" w:rsidRPr="00642952" w:rsidRDefault="00F87105" w:rsidP="005F7E3D">
      <w:pPr>
        <w:pStyle w:val="Heading3"/>
      </w:pPr>
      <w:bookmarkStart w:id="21" w:name="_Toc216280659"/>
      <w:bookmarkStart w:id="22" w:name="_Toc224553240"/>
      <w:r w:rsidRPr="00642952">
        <w:t xml:space="preserve">3.3 </w:t>
      </w:r>
      <w:r w:rsidR="0035563E" w:rsidRPr="00642952">
        <w:t>Evidence from stakeholders</w:t>
      </w:r>
      <w:bookmarkEnd w:id="21"/>
      <w:bookmarkEnd w:id="22"/>
    </w:p>
    <w:p w14:paraId="3A036A4E" w14:textId="77777777" w:rsidR="0035563E" w:rsidRPr="00642952" w:rsidRDefault="0035563E" w:rsidP="0035563E">
      <w:r w:rsidRPr="00642952">
        <w:t xml:space="preserve">As set out in Section </w:t>
      </w:r>
      <w:r w:rsidRPr="00642952">
        <w:fldChar w:fldCharType="begin"/>
      </w:r>
      <w:r w:rsidRPr="00642952">
        <w:instrText xml:space="preserve"> REF _Ref211771673 \r \h </w:instrText>
      </w:r>
      <w:r w:rsidRPr="00642952">
        <w:fldChar w:fldCharType="separate"/>
      </w:r>
      <w:r w:rsidRPr="00642952">
        <w:t>2.1.2</w:t>
      </w:r>
      <w:r w:rsidRPr="00642952">
        <w:fldChar w:fldCharType="end"/>
      </w:r>
      <w:r w:rsidRPr="00642952">
        <w:t xml:space="preserve">, we engaged with the major UK multi-site pig processors and relevant industry stakeholders. </w:t>
      </w:r>
    </w:p>
    <w:p w14:paraId="478ED6C5" w14:textId="3011F360" w:rsidR="003646B7" w:rsidRPr="00642952" w:rsidRDefault="0035563E" w:rsidP="0035563E">
      <w:r w:rsidRPr="00642952">
        <w:t>Across respondents, stakeholders supplied approximate quantitative information and qualitative context covering:</w:t>
      </w:r>
    </w:p>
    <w:p w14:paraId="36EC5AFF" w14:textId="7F5835BE" w:rsidR="00B659C2" w:rsidRPr="00642952" w:rsidRDefault="000A0B3D" w:rsidP="000013AD">
      <w:pPr>
        <w:pStyle w:val="ListParagraph"/>
        <w:numPr>
          <w:ilvl w:val="0"/>
          <w:numId w:val="33"/>
        </w:numPr>
      </w:pPr>
      <w:r w:rsidRPr="00642952">
        <w:t>H</w:t>
      </w:r>
      <w:r w:rsidR="00B659C2" w:rsidRPr="00642952">
        <w:t>ourly throughput on current CO</w:t>
      </w:r>
      <w:r w:rsidR="00B659C2" w:rsidRPr="00642952">
        <w:rPr>
          <w:rFonts w:ascii="Cambria Math" w:hAnsi="Cambria Math" w:cs="Cambria Math"/>
        </w:rPr>
        <w:t>₂</w:t>
      </w:r>
      <w:r w:rsidR="00B659C2" w:rsidRPr="00642952">
        <w:t xml:space="preserve"> lines and the distribution of operating hours across a normal week</w:t>
      </w:r>
    </w:p>
    <w:p w14:paraId="246BC8FF" w14:textId="44267B5B" w:rsidR="00B659C2" w:rsidRPr="00642952" w:rsidRDefault="000A0B3D" w:rsidP="000013AD">
      <w:pPr>
        <w:pStyle w:val="ListParagraph"/>
        <w:numPr>
          <w:ilvl w:val="0"/>
          <w:numId w:val="33"/>
        </w:numPr>
      </w:pPr>
      <w:r w:rsidRPr="00642952">
        <w:t xml:space="preserve">Indicative </w:t>
      </w:r>
      <w:r w:rsidR="00B659C2" w:rsidRPr="00642952">
        <w:t>staffing for pre-stun, stun and immediate post-stun areas, including how staffing might change if hours were extended</w:t>
      </w:r>
    </w:p>
    <w:p w14:paraId="560AA8BD" w14:textId="135732F2" w:rsidR="00B659C2" w:rsidRPr="00642952" w:rsidRDefault="00B659C2" w:rsidP="000013AD">
      <w:pPr>
        <w:pStyle w:val="ListParagraph"/>
        <w:numPr>
          <w:ilvl w:val="0"/>
          <w:numId w:val="33"/>
        </w:numPr>
      </w:pPr>
      <w:r w:rsidRPr="00642952">
        <w:t>CO</w:t>
      </w:r>
      <w:r w:rsidRPr="00642952">
        <w:rPr>
          <w:rFonts w:ascii="Cambria Math" w:hAnsi="Cambria Math" w:cs="Cambria Math"/>
        </w:rPr>
        <w:t>₂</w:t>
      </w:r>
      <w:r w:rsidRPr="00642952">
        <w:t xml:space="preserve"> consumption and costs, electricity and water use where available, and indicative maintenance and servicing costs</w:t>
      </w:r>
    </w:p>
    <w:p w14:paraId="71F84D26" w14:textId="1D23B42F" w:rsidR="00B659C2" w:rsidRPr="00642952" w:rsidRDefault="000A0B3D" w:rsidP="000013AD">
      <w:pPr>
        <w:pStyle w:val="ListParagraph"/>
        <w:numPr>
          <w:ilvl w:val="0"/>
          <w:numId w:val="33"/>
        </w:numPr>
      </w:pPr>
      <w:r w:rsidRPr="00642952">
        <w:t>H</w:t>
      </w:r>
      <w:r w:rsidR="00B659C2" w:rsidRPr="00642952">
        <w:t>igh-level capital envelopes for equipment and works in the event of replacement or conversion, typically as bands rather than firm quotations</w:t>
      </w:r>
    </w:p>
    <w:p w14:paraId="0EB6526F" w14:textId="6BF7C428" w:rsidR="009B4E31" w:rsidRPr="00642952" w:rsidRDefault="000A0B3D" w:rsidP="000013AD">
      <w:pPr>
        <w:pStyle w:val="ListParagraph"/>
        <w:numPr>
          <w:ilvl w:val="0"/>
          <w:numId w:val="33"/>
        </w:numPr>
      </w:pPr>
      <w:r w:rsidRPr="00642952">
        <w:t>O</w:t>
      </w:r>
      <w:r w:rsidR="00B659C2" w:rsidRPr="00642952">
        <w:t>rder-of-magnitude expectations for the change in throughput and staffing under argon or electrical alternatives, together with practical considerations for installation and commissioning</w:t>
      </w:r>
    </w:p>
    <w:p w14:paraId="652DE598" w14:textId="77777777" w:rsidR="00B11B08" w:rsidRPr="00642952" w:rsidRDefault="00B11B08" w:rsidP="00B11B08">
      <w:r w:rsidRPr="00642952">
        <w:t>These inputs were used to build a notional UK site that reflects average scale, cost and working patterns, and to calibrate central, optimistic and pessimistic ranges for the alternative scenarios. All figures were treated as ranges and triangulated across respondents.</w:t>
      </w:r>
    </w:p>
    <w:p w14:paraId="50699783" w14:textId="56FC4932" w:rsidR="002C28AA" w:rsidRPr="00642952" w:rsidRDefault="002C28AA" w:rsidP="005F7E3D">
      <w:pPr>
        <w:pStyle w:val="Heading4"/>
      </w:pPr>
      <w:r w:rsidRPr="00642952">
        <w:t>3.3.1 Evidence on alternative systems</w:t>
      </w:r>
    </w:p>
    <w:p w14:paraId="729C1BCA" w14:textId="77777777" w:rsidR="0054577D" w:rsidRDefault="002C28AA" w:rsidP="002C28AA">
      <w:r w:rsidRPr="00642952">
        <w:t>Processors reported that within existing UK layouts</w:t>
      </w:r>
      <w:r w:rsidR="000E74F2" w:rsidRPr="00642952">
        <w:t>,</w:t>
      </w:r>
      <w:r w:rsidRPr="00642952">
        <w:t xml:space="preserve"> hourly throughput on argon would be lower than on current CO</w:t>
      </w:r>
      <w:r w:rsidRPr="00642952">
        <w:rPr>
          <w:rFonts w:ascii="Cambria Math" w:hAnsi="Cambria Math" w:cs="Cambria Math"/>
        </w:rPr>
        <w:t>₂</w:t>
      </w:r>
      <w:r w:rsidRPr="00642952">
        <w:t xml:space="preserve"> lines unless additional capacity was installed.</w:t>
      </w:r>
    </w:p>
    <w:p w14:paraId="0B86BCF3" w14:textId="77777777" w:rsidR="0054577D" w:rsidRDefault="002C28AA" w:rsidP="002C28AA">
      <w:r w:rsidRPr="00642952">
        <w:t>Respondents provided approximate percentage reductions in pigs per hour relative to CO</w:t>
      </w:r>
      <w:r w:rsidRPr="00642952">
        <w:rPr>
          <w:rFonts w:ascii="Cambria Math" w:hAnsi="Cambria Math" w:cs="Cambria Math"/>
        </w:rPr>
        <w:t>₂</w:t>
      </w:r>
      <w:r w:rsidRPr="00642952">
        <w:t>, together with indicative staffing adjustments under two operational approaches: extended hours to maintain weekly volumes or added capacity to recover hourly throughput.</w:t>
      </w:r>
    </w:p>
    <w:p w14:paraId="7DE64C89" w14:textId="4D247AC5" w:rsidR="002C28AA" w:rsidRPr="00642952" w:rsidRDefault="002C28AA" w:rsidP="002C28AA">
      <w:r w:rsidRPr="00642952">
        <w:t xml:space="preserve">Stakeholders also described the additional equipment and layout modifications that might be required and, in some cases, provided indicative capital bands for equipment and works. </w:t>
      </w:r>
    </w:p>
    <w:p w14:paraId="4E62C145" w14:textId="1DAD89CF" w:rsidR="00D603A8" w:rsidRDefault="002C28AA" w:rsidP="002C28AA">
      <w:r w:rsidRPr="00642952">
        <w:t>For electrical stunning, stakeholders focused on the feasibility of delivering capacity through multiple parallel stunners and</w:t>
      </w:r>
      <w:r w:rsidR="00AB34AC">
        <w:t>,</w:t>
      </w:r>
      <w:r w:rsidRPr="00642952">
        <w:t xml:space="preserve"> on the upstream</w:t>
      </w:r>
      <w:r w:rsidR="00245EE5" w:rsidRPr="00642952">
        <w:t>,</w:t>
      </w:r>
      <w:r w:rsidRPr="00642952">
        <w:t xml:space="preserve"> handling changes needed to feed restraint consistently. Respondents provided indicative ranges for staffing per stunner, described ancillary works that may be triggered by local layouts and shared order-of-magnitude capital bands for equipment and building modifications.</w:t>
      </w:r>
    </w:p>
    <w:p w14:paraId="07131CB5" w14:textId="258C8B2A" w:rsidR="002C28AA" w:rsidRPr="00642952" w:rsidRDefault="002C28AA" w:rsidP="002C28AA">
      <w:r w:rsidRPr="00642952">
        <w:t>Stakeholders highlighted the significantly larger pre-handling footprint required to deliver capacity through parallel stunners, including additional raceways and restraint areas. Several respondents noted that within existing UK buildings</w:t>
      </w:r>
      <w:r w:rsidR="00544AB6" w:rsidRPr="00642952">
        <w:t>,</w:t>
      </w:r>
      <w:r w:rsidRPr="00642952">
        <w:t xml:space="preserve"> these space requirements could be difficult to meet without substantial building works and</w:t>
      </w:r>
      <w:r w:rsidR="00845A3C" w:rsidRPr="00642952">
        <w:t>,</w:t>
      </w:r>
      <w:r w:rsidRPr="00642952">
        <w:t xml:space="preserve"> in some cases</w:t>
      </w:r>
      <w:r w:rsidR="00845A3C" w:rsidRPr="00642952">
        <w:t>,</w:t>
      </w:r>
      <w:r w:rsidRPr="00642952">
        <w:t xml:space="preserve"> might not be feasible at all. </w:t>
      </w:r>
    </w:p>
    <w:p w14:paraId="78053EB1" w14:textId="1BC3903E" w:rsidR="008D41BC" w:rsidRDefault="002C28AA" w:rsidP="002C28AA">
      <w:r w:rsidRPr="00642952">
        <w:t xml:space="preserve">For both argon and electrical stunning, evidence from stakeholders on capital costs and installation downtime was limited and mixed, and therefore there is a degree of uncertainty in the estimates of installation and conversion costs. Some interviewees anticipated being able to run at a reduced rate or use </w:t>
      </w:r>
      <w:proofErr w:type="gramStart"/>
      <w:r w:rsidRPr="00642952">
        <w:t>long-weekend</w:t>
      </w:r>
      <w:proofErr w:type="gramEnd"/>
      <w:r w:rsidRPr="00642952">
        <w:t xml:space="preserve"> works during conversion; others indicated a full site shutdown would be required.</w:t>
      </w:r>
      <w:r w:rsidR="008D41BC">
        <w:t xml:space="preserve"> </w:t>
      </w:r>
      <w:r w:rsidRPr="00642952">
        <w:t>The length of downtime varied significantly, potentially reflecting differences in site-specific factors.</w:t>
      </w:r>
    </w:p>
    <w:p w14:paraId="034105D4" w14:textId="79060BF2" w:rsidR="002C28AA" w:rsidRPr="00642952" w:rsidRDefault="002C28AA" w:rsidP="002C28AA">
      <w:r w:rsidRPr="00642952">
        <w:lastRenderedPageBreak/>
        <w:t xml:space="preserve">Given the uncertainty, the capex estimate for the notional site in the model excludes the cost of lost production during any shutdown period and the cost of diverting pigs to other sites during a shutdown. However, as these are important impacts of switching to an alternative system, we assess this qualitatively in Chapter </w:t>
      </w:r>
      <w:r w:rsidRPr="00642952">
        <w:fldChar w:fldCharType="begin"/>
      </w:r>
      <w:r w:rsidRPr="00642952">
        <w:instrText xml:space="preserve"> REF _Ref211868004 \r \h </w:instrText>
      </w:r>
      <w:r w:rsidRPr="00642952">
        <w:fldChar w:fldCharType="separate"/>
      </w:r>
      <w:r w:rsidRPr="00642952">
        <w:t>5</w:t>
      </w:r>
      <w:r w:rsidRPr="00642952">
        <w:fldChar w:fldCharType="end"/>
      </w:r>
      <w:r w:rsidRPr="00642952">
        <w:t xml:space="preserve">. </w:t>
      </w:r>
    </w:p>
    <w:p w14:paraId="6743E12F" w14:textId="2D9F1F5C" w:rsidR="00D156AD" w:rsidRPr="00642952" w:rsidRDefault="00D156AD" w:rsidP="00DE1DCE">
      <w:pPr>
        <w:pStyle w:val="Heading4"/>
      </w:pPr>
      <w:r w:rsidRPr="00642952">
        <w:t>3.3.2 Qualitative points raised by stakeholders</w:t>
      </w:r>
    </w:p>
    <w:p w14:paraId="1B503F4F" w14:textId="77777777" w:rsidR="003B254E" w:rsidRDefault="00D156AD" w:rsidP="00D156AD">
      <w:r w:rsidRPr="00642952">
        <w:t>A key consideration raised by stakeholders is the supply chain. If an alternative stunning method yields a lower pigs-per-hour rate than the current CO</w:t>
      </w:r>
      <w:r w:rsidRPr="00642952">
        <w:rPr>
          <w:rFonts w:ascii="Cambria Math" w:hAnsi="Cambria Math" w:cs="Cambria Math"/>
        </w:rPr>
        <w:t>₂</w:t>
      </w:r>
      <w:r w:rsidRPr="00642952">
        <w:t xml:space="preserve"> line, there will be a backlog of pigs and potentially serious welfare impacts on farm.</w:t>
      </w:r>
    </w:p>
    <w:p w14:paraId="3222C009" w14:textId="46BEA86D" w:rsidR="00D156AD" w:rsidRPr="00642952" w:rsidRDefault="00D156AD" w:rsidP="00D156AD">
      <w:r w:rsidRPr="00642952">
        <w:t>Replacing CO</w:t>
      </w:r>
      <w:r w:rsidRPr="00642952">
        <w:rPr>
          <w:rFonts w:ascii="Cambria Math" w:hAnsi="Cambria Math" w:cs="Cambria Math"/>
        </w:rPr>
        <w:t>₂</w:t>
      </w:r>
      <w:r w:rsidRPr="00642952">
        <w:t xml:space="preserve"> with argon and resuming the previous operating schedule would not sustain baseline weekly volumes. Over a longer horizon the supply of pigs can adjust, but that would imply a reduction in total production for the UK pork industry. In practice, converting to a lower-throughput stunning system such as argon would require either operating for longer hours or additional days to clear the weekly volume, or increasing installed capacity. Adding additional capacity (e.g. a second gas stunner) does not completely avoid this challenge, because additional labour would be required to operate the second line. </w:t>
      </w:r>
    </w:p>
    <w:p w14:paraId="1243F7A1" w14:textId="77777777" w:rsidR="00103F84" w:rsidRDefault="00D156AD" w:rsidP="00D156AD">
      <w:r w:rsidRPr="00642952">
        <w:t>While longer days or additional shifts could, in principle, recover some lost hourly capacity, extended hours are not a frictionless substitute for capacity when trying to maintain total weekly kill. Stakeholder input indicates that running extended hours (e.g. operating Monday to Saturday instead of Monday to Friday) is not a practical, feasible long-term solution, due to limited availability of additional labour. It is also unclear if sites would be able to arrange for the requisite Food Standards Agency meat hygiene inspectors and Official Veterinarians to be on site for the extended hours.</w:t>
      </w:r>
    </w:p>
    <w:p w14:paraId="7A2DEBB0" w14:textId="56A8514E" w:rsidR="00D156AD" w:rsidRPr="00642952" w:rsidRDefault="00D156AD" w:rsidP="00D156AD">
      <w:r w:rsidRPr="00642952">
        <w:t>Stakeholders also highlighted practical constraints linked to chilling windows if stunning and slaughter were to run significantly later into the day. As a result, extended hours may not be operationally feasible at all sites, even if staffing and inspection cover could in principle be arranged.</w:t>
      </w:r>
    </w:p>
    <w:p w14:paraId="7C369D5F" w14:textId="77777777" w:rsidR="000D43E5" w:rsidRDefault="00D156AD" w:rsidP="00D156AD">
      <w:r w:rsidRPr="00642952">
        <w:t>Adding capacity – for example</w:t>
      </w:r>
      <w:r w:rsidR="00EC5644" w:rsidRPr="00642952">
        <w:t>,</w:t>
      </w:r>
      <w:r w:rsidRPr="00642952">
        <w:t xml:space="preserve"> a larger controlled-atmosphere unit with more or bigger gondolas, or a parallel unit – avoids extended hours but introduces capital costs and transition challenges. The feasibility of adding capacity with a larger stunning system or an additional line is highly site-specific as on-site engineering constraints vary considerably. Pre-stun pits, raceways, bleed rails and the geometry of adjacent areas may constrain what can be installed and how it can be commissioned, and in some cases planning or building-control implications arise.</w:t>
      </w:r>
    </w:p>
    <w:p w14:paraId="60226E31" w14:textId="77777777" w:rsidR="00DD62A0" w:rsidRDefault="00D156AD" w:rsidP="00D156AD">
      <w:r w:rsidRPr="00642952">
        <w:t>Given the site-specific nature of these risks, it is difficult to capture them monetarily in a model for a notional UK site. However, we have acknowledged the significant uncertainty in the capital expenditure required to convert to an alternative system, and it is possible that the costs for some sites will exceed even our pessimistic scenarios if relocation is required due to space constraints.</w:t>
      </w:r>
    </w:p>
    <w:p w14:paraId="4EB7B7A5" w14:textId="34F96EF5" w:rsidR="00D156AD" w:rsidRPr="00642952" w:rsidRDefault="00D156AD" w:rsidP="00D156AD">
      <w:r w:rsidRPr="00642952">
        <w:t>Additionally, stakeholders emphasised that increasing stunning capacity does not automatically translate into higher overall plant throughput. At several sites, the binding constraint is chilling, boning or packing capacity rather than the stunner itself (though such constraints may apply to current CO</w:t>
      </w:r>
      <w:r w:rsidRPr="00642952">
        <w:rPr>
          <w:vertAlign w:val="subscript"/>
        </w:rPr>
        <w:t xml:space="preserve">2 </w:t>
      </w:r>
      <w:r w:rsidRPr="00642952">
        <w:t>systems as well as to alternative systems).</w:t>
      </w:r>
    </w:p>
    <w:p w14:paraId="72ECFDE7" w14:textId="575A3C7A" w:rsidR="00DD62A0" w:rsidRDefault="00D156AD" w:rsidP="00D156AD">
      <w:r w:rsidRPr="00642952">
        <w:t>Installation downtime is a related constraint raised by stakeholders. Multi-week shutdowns (either partial or full, depending on the specific circumstances at each site) would create pressure in the supply chain and would require diverting significant numbers of pigs to other plants. Stakeholders noted that spare capacity is uneven, inter-site distances can be significant and longer journeys bring haulage costs and scheduling complexity.</w:t>
      </w:r>
    </w:p>
    <w:p w14:paraId="16A98B0B" w14:textId="407C12E0" w:rsidR="00B11B08" w:rsidRPr="00642952" w:rsidRDefault="00D156AD" w:rsidP="00D156AD">
      <w:r w:rsidRPr="00642952">
        <w:t>A further complication is that retailer consent is also a prerequisite. A workable transition is likely to require coordination across processors and retailers so that conversions are staggered and other plants temporarily absorb surplus animals while a site is offline. Even with coordination, additional transport and planning costs would be expected for the conversion period.</w:t>
      </w:r>
    </w:p>
    <w:p w14:paraId="5FA86203" w14:textId="6D1C91D6" w:rsidR="00F71455" w:rsidRPr="00642952" w:rsidRDefault="00B859EB" w:rsidP="00DE1DCE">
      <w:pPr>
        <w:pStyle w:val="Heading4"/>
      </w:pPr>
      <w:r w:rsidRPr="00642952">
        <w:lastRenderedPageBreak/>
        <w:t xml:space="preserve">3.3.3 </w:t>
      </w:r>
      <w:r w:rsidR="00F71455" w:rsidRPr="00642952">
        <w:t>How stakeholder evidence shaped the scenarios</w:t>
      </w:r>
    </w:p>
    <w:p w14:paraId="7D65B794" w14:textId="77777777" w:rsidR="00E6361A" w:rsidRDefault="00F71455" w:rsidP="00F71455">
      <w:r w:rsidRPr="00642952">
        <w:t>Our modelled scenarios are shaped by the input from stakeholders on practical considerations.</w:t>
      </w:r>
    </w:p>
    <w:p w14:paraId="7CC32DD0" w14:textId="77777777" w:rsidR="00863DD0" w:rsidRDefault="00F71455" w:rsidP="00DD62A0">
      <w:r w:rsidRPr="00642952">
        <w:t>Our first argon scenario replaces CO</w:t>
      </w:r>
      <w:r w:rsidRPr="00642952">
        <w:rPr>
          <w:rFonts w:ascii="Cambria Math" w:hAnsi="Cambria Math" w:cs="Cambria Math"/>
        </w:rPr>
        <w:t>₂</w:t>
      </w:r>
      <w:r w:rsidRPr="00642952">
        <w:t xml:space="preserve"> with argon and adds capacity so that weekly kill is maintained without relying on extended hours. </w:t>
      </w:r>
      <w:r w:rsidR="009D1077" w:rsidRPr="00642952">
        <w:t>T</w:t>
      </w:r>
      <w:r w:rsidRPr="00642952">
        <w:t>he alternative argon scenario replaces CO</w:t>
      </w:r>
      <w:r w:rsidRPr="00642952">
        <w:rPr>
          <w:rFonts w:ascii="Cambria Math" w:hAnsi="Cambria Math" w:cs="Cambria Math"/>
        </w:rPr>
        <w:t>₂</w:t>
      </w:r>
      <w:r w:rsidRPr="00642952">
        <w:t xml:space="preserve"> with argon but adds no capacity and models the costs of running extended hours to maintain annual output. For completeness, we also carry out sensitivity analysis for an argon scenario without extended operating hours or additional capacity (i.e. acceptance of lower annual volume).</w:t>
      </w:r>
      <w:r w:rsidR="00863DD0">
        <w:t xml:space="preserve"> </w:t>
      </w:r>
    </w:p>
    <w:p w14:paraId="568FFEC0" w14:textId="70C3BF3D" w:rsidR="00422D92" w:rsidRPr="00863DD0" w:rsidRDefault="00F71455" w:rsidP="00863DD0">
      <w:pPr>
        <w:rPr>
          <w:rStyle w:val="Heading2Char"/>
        </w:rPr>
      </w:pPr>
      <w:r w:rsidRPr="00642952">
        <w:t>The electrical scenario assumes full conversion, with removal of the CO</w:t>
      </w:r>
      <w:r w:rsidRPr="00642952">
        <w:rPr>
          <w:rFonts w:ascii="Cambria Math" w:hAnsi="Cambria Math" w:cs="Cambria Math"/>
        </w:rPr>
        <w:t>₂</w:t>
      </w:r>
      <w:r w:rsidRPr="00642952">
        <w:t xml:space="preserve"> system and installation of parallel electrical stunners with associated restraint and handling changes. Quantitative results are presented in </w:t>
      </w:r>
      <w:r w:rsidR="00091BC0">
        <w:t>C</w:t>
      </w:r>
      <w:r w:rsidRPr="00642952">
        <w:t>hapter</w:t>
      </w:r>
      <w:r w:rsidR="00091BC0">
        <w:t xml:space="preserve"> </w:t>
      </w:r>
      <w:r w:rsidR="00091BC0" w:rsidRPr="00863DD0">
        <w:t>4</w:t>
      </w:r>
      <w:r w:rsidRPr="00863DD0">
        <w:t>.</w:t>
      </w:r>
      <w:bookmarkStart w:id="23" w:name="_Toc216280660"/>
      <w:bookmarkStart w:id="24" w:name="_Toc224553241"/>
      <w:r w:rsidR="00863DD0">
        <w:br/>
      </w:r>
      <w:r w:rsidR="00863DD0">
        <w:br/>
      </w:r>
      <w:r w:rsidR="00422D92" w:rsidRPr="00863DD0">
        <w:rPr>
          <w:rStyle w:val="Heading2Char"/>
        </w:rPr>
        <w:t xml:space="preserve">4 </w:t>
      </w:r>
      <w:r w:rsidR="00800F24" w:rsidRPr="00863DD0">
        <w:rPr>
          <w:rStyle w:val="Heading2Char"/>
        </w:rPr>
        <w:t>Quantitative results</w:t>
      </w:r>
      <w:bookmarkEnd w:id="23"/>
      <w:bookmarkEnd w:id="24"/>
    </w:p>
    <w:p w14:paraId="00D56417" w14:textId="405B682B" w:rsidR="006D1BD1" w:rsidRPr="00642952" w:rsidRDefault="00E438BD" w:rsidP="00E438BD">
      <w:r w:rsidRPr="00642952">
        <w:t>This chapter sets out the results of our cost modelling analysis for the CO</w:t>
      </w:r>
      <w:r w:rsidRPr="00642952">
        <w:rPr>
          <w:vertAlign w:val="subscript"/>
        </w:rPr>
        <w:t xml:space="preserve">2 </w:t>
      </w:r>
      <w:r w:rsidRPr="00642952">
        <w:t xml:space="preserve">baseline and the alternative systems, providing per-pig costs and percentage changes relative to the baseline. We also set out the sensitivity testing carried out and discuss the robustness of the model results.  </w:t>
      </w:r>
    </w:p>
    <w:p w14:paraId="2291A172" w14:textId="5EF8D64D" w:rsidR="006D1BD1" w:rsidRPr="00642952" w:rsidRDefault="007C1D28" w:rsidP="00DE1DCE">
      <w:pPr>
        <w:pStyle w:val="Heading3"/>
      </w:pPr>
      <w:bookmarkStart w:id="25" w:name="_Toc216280661"/>
      <w:bookmarkStart w:id="26" w:name="_Toc224553242"/>
      <w:r w:rsidRPr="00642952">
        <w:t xml:space="preserve">4.1 </w:t>
      </w:r>
      <w:r w:rsidR="009451F5" w:rsidRPr="00642952">
        <w:t>CO</w:t>
      </w:r>
      <w:r w:rsidR="009451F5" w:rsidRPr="00642952">
        <w:rPr>
          <w:vertAlign w:val="subscript"/>
        </w:rPr>
        <w:t xml:space="preserve">2 </w:t>
      </w:r>
      <w:r w:rsidR="009451F5" w:rsidRPr="00642952">
        <w:t>baseline for notional UK plant</w:t>
      </w:r>
      <w:bookmarkEnd w:id="25"/>
      <w:bookmarkEnd w:id="26"/>
    </w:p>
    <w:p w14:paraId="344D220A" w14:textId="5AE659D5" w:rsidR="00C3491B" w:rsidRDefault="00E715EF" w:rsidP="00C3491B">
      <w:r>
        <w:t>T</w:t>
      </w:r>
      <w:r w:rsidR="00C3491B" w:rsidRPr="00642952">
        <w:t xml:space="preserve">able </w:t>
      </w:r>
      <w:r>
        <w:t>4.1</w:t>
      </w:r>
      <w:r w:rsidR="00C3491B" w:rsidRPr="00642952">
        <w:t xml:space="preserve"> sets out the parameters for the notional UK plant operating a CO</w:t>
      </w:r>
      <w:r w:rsidR="00C3491B" w:rsidRPr="00642952">
        <w:rPr>
          <w:vertAlign w:val="subscript"/>
        </w:rPr>
        <w:t xml:space="preserve">2 </w:t>
      </w:r>
      <w:r w:rsidR="00C3491B" w:rsidRPr="00642952">
        <w:t xml:space="preserve">stunning system, under our central assumptions. </w:t>
      </w:r>
    </w:p>
    <w:p w14:paraId="129DB1BA" w14:textId="77777777" w:rsidR="00E715EF" w:rsidRPr="00642952" w:rsidRDefault="00E715EF" w:rsidP="00C3491B"/>
    <w:p w14:paraId="7757F7EF" w14:textId="1D9923B9" w:rsidR="00A604E2" w:rsidRPr="00C06A91" w:rsidRDefault="008400CF" w:rsidP="00A604E2">
      <w:pPr>
        <w:pStyle w:val="Tableheading"/>
        <w:jc w:val="left"/>
        <w:rPr>
          <w:sz w:val="20"/>
          <w:szCs w:val="20"/>
        </w:rPr>
      </w:pPr>
      <w:r w:rsidRPr="00C06A91">
        <w:rPr>
          <w:sz w:val="20"/>
          <w:szCs w:val="20"/>
        </w:rPr>
        <w:t xml:space="preserve">Table </w:t>
      </w:r>
      <w:r w:rsidRPr="00C06A91">
        <w:rPr>
          <w:sz w:val="20"/>
          <w:szCs w:val="20"/>
        </w:rPr>
        <w:fldChar w:fldCharType="begin"/>
      </w:r>
      <w:r w:rsidRPr="00C06A91">
        <w:rPr>
          <w:sz w:val="20"/>
          <w:szCs w:val="20"/>
        </w:rPr>
        <w:instrText>STYLEREF 1 \s</w:instrText>
      </w:r>
      <w:r w:rsidRPr="00C06A91">
        <w:rPr>
          <w:sz w:val="20"/>
          <w:szCs w:val="20"/>
        </w:rPr>
        <w:fldChar w:fldCharType="separate"/>
      </w:r>
      <w:r w:rsidRPr="00C06A91">
        <w:rPr>
          <w:sz w:val="20"/>
          <w:szCs w:val="20"/>
        </w:rPr>
        <w:t>4</w:t>
      </w:r>
      <w:r w:rsidRPr="00C06A91">
        <w:rPr>
          <w:sz w:val="20"/>
          <w:szCs w:val="20"/>
        </w:rPr>
        <w:fldChar w:fldCharType="end"/>
      </w:r>
      <w:r w:rsidRPr="00C06A91">
        <w:rPr>
          <w:sz w:val="20"/>
          <w:szCs w:val="20"/>
        </w:rPr>
        <w:t>.</w:t>
      </w:r>
      <w:r w:rsidRPr="00C06A91">
        <w:rPr>
          <w:sz w:val="20"/>
          <w:szCs w:val="20"/>
        </w:rPr>
        <w:fldChar w:fldCharType="begin"/>
      </w:r>
      <w:r w:rsidRPr="00C06A91">
        <w:rPr>
          <w:sz w:val="20"/>
          <w:szCs w:val="20"/>
        </w:rPr>
        <w:instrText>SEQ Table \* ARABIC \s 1</w:instrText>
      </w:r>
      <w:r w:rsidRPr="00C06A91">
        <w:rPr>
          <w:sz w:val="20"/>
          <w:szCs w:val="20"/>
        </w:rPr>
        <w:fldChar w:fldCharType="separate"/>
      </w:r>
      <w:r w:rsidRPr="00C06A91">
        <w:rPr>
          <w:sz w:val="20"/>
          <w:szCs w:val="20"/>
        </w:rPr>
        <w:t>1</w:t>
      </w:r>
      <w:r w:rsidRPr="00C06A91">
        <w:rPr>
          <w:sz w:val="20"/>
          <w:szCs w:val="20"/>
        </w:rPr>
        <w:fldChar w:fldCharType="end"/>
      </w:r>
      <w:r w:rsidRPr="00C06A91">
        <w:rPr>
          <w:sz w:val="20"/>
          <w:szCs w:val="20"/>
        </w:rPr>
        <w:t xml:space="preserve">: Parameters for notional UK plant </w:t>
      </w:r>
    </w:p>
    <w:tbl>
      <w:tblPr>
        <w:tblStyle w:val="ListTable2-Accent1"/>
        <w:tblW w:w="9413" w:type="dxa"/>
        <w:tblLook w:val="04E0" w:firstRow="1" w:lastRow="1" w:firstColumn="1" w:lastColumn="0" w:noHBand="0" w:noVBand="1"/>
      </w:tblPr>
      <w:tblGrid>
        <w:gridCol w:w="4827"/>
        <w:gridCol w:w="2172"/>
        <w:gridCol w:w="2414"/>
      </w:tblGrid>
      <w:tr w:rsidR="00F05AB4" w:rsidRPr="00642952" w14:paraId="2DDB7787" w14:textId="77777777" w:rsidTr="000F6BC1">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827" w:type="dxa"/>
            <w:noWrap/>
            <w:hideMark/>
          </w:tcPr>
          <w:p w14:paraId="0AD39C38" w14:textId="77777777" w:rsidR="00F05AB4" w:rsidRPr="00642952" w:rsidRDefault="00F05AB4" w:rsidP="00FE3344">
            <w:pPr>
              <w:pStyle w:val="Table-Body-leftaligned"/>
            </w:pPr>
            <w:r w:rsidRPr="00642952">
              <w:t>Parameter</w:t>
            </w:r>
          </w:p>
        </w:tc>
        <w:tc>
          <w:tcPr>
            <w:tcW w:w="2172" w:type="dxa"/>
            <w:noWrap/>
            <w:hideMark/>
          </w:tcPr>
          <w:p w14:paraId="731CB86D" w14:textId="77777777" w:rsidR="00F05AB4" w:rsidRPr="00642952" w:rsidRDefault="00F05AB4" w:rsidP="00FE3344">
            <w:pPr>
              <w:pStyle w:val="Table-Body-centred"/>
              <w:cnfStyle w:val="100000000000" w:firstRow="1" w:lastRow="0" w:firstColumn="0" w:lastColumn="0" w:oddVBand="0" w:evenVBand="0" w:oddHBand="0" w:evenHBand="0" w:firstRowFirstColumn="0" w:firstRowLastColumn="0" w:lastRowFirstColumn="0" w:lastRowLastColumn="0"/>
            </w:pPr>
            <w:r w:rsidRPr="00642952">
              <w:t>Value</w:t>
            </w:r>
          </w:p>
        </w:tc>
        <w:tc>
          <w:tcPr>
            <w:tcW w:w="2414" w:type="dxa"/>
            <w:noWrap/>
            <w:hideMark/>
          </w:tcPr>
          <w:p w14:paraId="2FDC349F" w14:textId="77777777" w:rsidR="00F05AB4" w:rsidRPr="00642952" w:rsidRDefault="00F05AB4" w:rsidP="00FE3344">
            <w:pPr>
              <w:pStyle w:val="Table-Body-centred"/>
              <w:cnfStyle w:val="100000000000" w:firstRow="1" w:lastRow="0" w:firstColumn="0" w:lastColumn="0" w:oddVBand="0" w:evenVBand="0" w:oddHBand="0" w:evenHBand="0" w:firstRowFirstColumn="0" w:firstRowLastColumn="0" w:lastRowFirstColumn="0" w:lastRowLastColumn="0"/>
            </w:pPr>
            <w:r w:rsidRPr="00642952">
              <w:t>Unit</w:t>
            </w:r>
          </w:p>
        </w:tc>
      </w:tr>
      <w:tr w:rsidR="00F05AB4" w:rsidRPr="00642952" w14:paraId="55C65F03" w14:textId="77777777" w:rsidTr="000F6BC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57853F9F" w14:textId="77777777" w:rsidR="00F05AB4" w:rsidRPr="00642952" w:rsidRDefault="00F05AB4" w:rsidP="00FE3344">
            <w:pPr>
              <w:pStyle w:val="Table-Body-leftaligned"/>
            </w:pPr>
            <w:r w:rsidRPr="00642952">
              <w:t>Throughput</w:t>
            </w:r>
          </w:p>
        </w:tc>
        <w:tc>
          <w:tcPr>
            <w:tcW w:w="2172" w:type="dxa"/>
            <w:noWrap/>
            <w:hideMark/>
          </w:tcPr>
          <w:p w14:paraId="2DE69ED7"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450</w:t>
            </w:r>
          </w:p>
        </w:tc>
        <w:tc>
          <w:tcPr>
            <w:tcW w:w="2414" w:type="dxa"/>
            <w:noWrap/>
            <w:hideMark/>
          </w:tcPr>
          <w:p w14:paraId="03685D0D"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pigs/hour</w:t>
            </w:r>
          </w:p>
        </w:tc>
      </w:tr>
      <w:tr w:rsidR="00F05AB4" w:rsidRPr="00642952" w14:paraId="2E3CE4A2" w14:textId="77777777" w:rsidTr="000F6BC1">
        <w:trPr>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3637E522" w14:textId="77777777" w:rsidR="00F05AB4" w:rsidRPr="00642952" w:rsidRDefault="00F05AB4" w:rsidP="00FE3344">
            <w:pPr>
              <w:pStyle w:val="Table-Body-leftaligned"/>
            </w:pPr>
            <w:r w:rsidRPr="00642952">
              <w:t xml:space="preserve">Annual pigs killed </w:t>
            </w:r>
          </w:p>
        </w:tc>
        <w:tc>
          <w:tcPr>
            <w:tcW w:w="2172" w:type="dxa"/>
            <w:noWrap/>
            <w:hideMark/>
          </w:tcPr>
          <w:p w14:paraId="195E2A89" w14:textId="3550C76C"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1,170,000</w:t>
            </w:r>
          </w:p>
        </w:tc>
        <w:tc>
          <w:tcPr>
            <w:tcW w:w="2414" w:type="dxa"/>
            <w:noWrap/>
            <w:hideMark/>
          </w:tcPr>
          <w:p w14:paraId="4C9293CC"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pigs/year</w:t>
            </w:r>
          </w:p>
        </w:tc>
      </w:tr>
      <w:tr w:rsidR="00F05AB4" w:rsidRPr="00642952" w14:paraId="1505B70B" w14:textId="77777777" w:rsidTr="000F6BC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711BE76D" w14:textId="77777777" w:rsidR="00F05AB4" w:rsidRPr="00642952" w:rsidRDefault="00F05AB4" w:rsidP="00FE3344">
            <w:pPr>
              <w:pStyle w:val="Table-Body-leftaligned"/>
            </w:pPr>
            <w:r w:rsidRPr="00642952">
              <w:t>CO</w:t>
            </w:r>
            <w:r w:rsidRPr="005B6E69">
              <w:rPr>
                <w:vertAlign w:val="subscript"/>
              </w:rPr>
              <w:t>2</w:t>
            </w:r>
            <w:r w:rsidRPr="00642952">
              <w:t xml:space="preserve"> costs</w:t>
            </w:r>
          </w:p>
        </w:tc>
        <w:tc>
          <w:tcPr>
            <w:tcW w:w="2172" w:type="dxa"/>
            <w:noWrap/>
            <w:hideMark/>
          </w:tcPr>
          <w:p w14:paraId="568A32DD"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£97,294</w:t>
            </w:r>
          </w:p>
        </w:tc>
        <w:tc>
          <w:tcPr>
            <w:tcW w:w="2414" w:type="dxa"/>
            <w:noWrap/>
            <w:hideMark/>
          </w:tcPr>
          <w:p w14:paraId="0ECE2247"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£/year</w:t>
            </w:r>
          </w:p>
        </w:tc>
      </w:tr>
      <w:tr w:rsidR="00F05AB4" w:rsidRPr="00642952" w14:paraId="55CD9271" w14:textId="77777777" w:rsidTr="000F6BC1">
        <w:trPr>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174BCBC8" w14:textId="77777777" w:rsidR="00F05AB4" w:rsidRPr="00642952" w:rsidRDefault="00F05AB4" w:rsidP="00FE3344">
            <w:pPr>
              <w:pStyle w:val="Table-Body-leftaligned"/>
            </w:pPr>
            <w:r w:rsidRPr="00642952">
              <w:t>Electricity costs</w:t>
            </w:r>
          </w:p>
        </w:tc>
        <w:tc>
          <w:tcPr>
            <w:tcW w:w="2172" w:type="dxa"/>
            <w:noWrap/>
            <w:hideMark/>
          </w:tcPr>
          <w:p w14:paraId="51D586A1"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£3,049</w:t>
            </w:r>
          </w:p>
        </w:tc>
        <w:tc>
          <w:tcPr>
            <w:tcW w:w="2414" w:type="dxa"/>
            <w:noWrap/>
            <w:hideMark/>
          </w:tcPr>
          <w:p w14:paraId="079AB991"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£/year</w:t>
            </w:r>
          </w:p>
        </w:tc>
      </w:tr>
      <w:tr w:rsidR="00F05AB4" w:rsidRPr="00642952" w14:paraId="441F9754" w14:textId="77777777" w:rsidTr="000F6BC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4A77DDAE" w14:textId="77777777" w:rsidR="00F05AB4" w:rsidRPr="00642952" w:rsidRDefault="00F05AB4" w:rsidP="00FE3344">
            <w:pPr>
              <w:pStyle w:val="Table-Body-leftaligned"/>
            </w:pPr>
            <w:r w:rsidRPr="00642952">
              <w:t>Water costs</w:t>
            </w:r>
          </w:p>
        </w:tc>
        <w:tc>
          <w:tcPr>
            <w:tcW w:w="2172" w:type="dxa"/>
            <w:noWrap/>
            <w:hideMark/>
          </w:tcPr>
          <w:p w14:paraId="738033E0"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£3,913</w:t>
            </w:r>
          </w:p>
        </w:tc>
        <w:tc>
          <w:tcPr>
            <w:tcW w:w="2414" w:type="dxa"/>
            <w:noWrap/>
            <w:hideMark/>
          </w:tcPr>
          <w:p w14:paraId="18530626"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£/year</w:t>
            </w:r>
          </w:p>
        </w:tc>
      </w:tr>
      <w:tr w:rsidR="00F05AB4" w:rsidRPr="00642952" w14:paraId="254AF268" w14:textId="77777777" w:rsidTr="000F6BC1">
        <w:trPr>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0AFD3BD9" w14:textId="77777777" w:rsidR="00F05AB4" w:rsidRPr="00642952" w:rsidRDefault="00F05AB4" w:rsidP="00FE3344">
            <w:pPr>
              <w:pStyle w:val="Table-Body-leftaligned"/>
            </w:pPr>
            <w:r w:rsidRPr="00642952">
              <w:t>Maintenance costs</w:t>
            </w:r>
          </w:p>
        </w:tc>
        <w:tc>
          <w:tcPr>
            <w:tcW w:w="2172" w:type="dxa"/>
            <w:noWrap/>
            <w:hideMark/>
          </w:tcPr>
          <w:p w14:paraId="2FEDAE81"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£80,430</w:t>
            </w:r>
          </w:p>
        </w:tc>
        <w:tc>
          <w:tcPr>
            <w:tcW w:w="2414" w:type="dxa"/>
            <w:noWrap/>
            <w:hideMark/>
          </w:tcPr>
          <w:p w14:paraId="4C4C46F5"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£/year</w:t>
            </w:r>
          </w:p>
        </w:tc>
      </w:tr>
      <w:tr w:rsidR="00F05AB4" w:rsidRPr="00642952" w14:paraId="79CB9DC9" w14:textId="77777777" w:rsidTr="000F6BC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47424B9C" w14:textId="77777777" w:rsidR="00F05AB4" w:rsidRPr="00642952" w:rsidRDefault="00F05AB4" w:rsidP="00FE3344">
            <w:pPr>
              <w:pStyle w:val="Table-Body-leftaligned"/>
            </w:pPr>
            <w:r w:rsidRPr="00642952">
              <w:t>Labour input</w:t>
            </w:r>
          </w:p>
        </w:tc>
        <w:tc>
          <w:tcPr>
            <w:tcW w:w="2172" w:type="dxa"/>
            <w:noWrap/>
            <w:hideMark/>
          </w:tcPr>
          <w:p w14:paraId="555B729E"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9</w:t>
            </w:r>
          </w:p>
        </w:tc>
        <w:tc>
          <w:tcPr>
            <w:tcW w:w="2414" w:type="dxa"/>
            <w:noWrap/>
            <w:hideMark/>
          </w:tcPr>
          <w:p w14:paraId="3048F429" w14:textId="52112FB9" w:rsidR="00F05AB4" w:rsidRPr="00642952" w:rsidRDefault="009A54FB"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c</w:t>
            </w:r>
            <w:r w:rsidR="00F05AB4" w:rsidRPr="00642952">
              <w:t>ount</w:t>
            </w:r>
          </w:p>
        </w:tc>
      </w:tr>
      <w:tr w:rsidR="00F05AB4" w:rsidRPr="00642952" w14:paraId="1E1647FB" w14:textId="77777777" w:rsidTr="000F6BC1">
        <w:trPr>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13712082" w14:textId="77777777" w:rsidR="00F05AB4" w:rsidRPr="00642952" w:rsidRDefault="00F05AB4" w:rsidP="00FE3344">
            <w:pPr>
              <w:pStyle w:val="Table-Body-leftaligned"/>
            </w:pPr>
            <w:r w:rsidRPr="00642952">
              <w:t>Wage rate</w:t>
            </w:r>
          </w:p>
        </w:tc>
        <w:tc>
          <w:tcPr>
            <w:tcW w:w="2172" w:type="dxa"/>
            <w:noWrap/>
            <w:hideMark/>
          </w:tcPr>
          <w:p w14:paraId="75F8D1B2"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£13</w:t>
            </w:r>
          </w:p>
        </w:tc>
        <w:tc>
          <w:tcPr>
            <w:tcW w:w="2414" w:type="dxa"/>
            <w:noWrap/>
            <w:hideMark/>
          </w:tcPr>
          <w:p w14:paraId="65919BE3"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£/hour</w:t>
            </w:r>
          </w:p>
        </w:tc>
      </w:tr>
      <w:tr w:rsidR="00F05AB4" w:rsidRPr="00642952" w14:paraId="75152CBD" w14:textId="77777777" w:rsidTr="000F6BC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57D42CF7" w14:textId="77777777" w:rsidR="00F05AB4" w:rsidRPr="00642952" w:rsidRDefault="00F05AB4" w:rsidP="00FE3344">
            <w:pPr>
              <w:pStyle w:val="Table-Body-leftaligned"/>
            </w:pPr>
            <w:r w:rsidRPr="00642952">
              <w:t>Labour cost</w:t>
            </w:r>
          </w:p>
        </w:tc>
        <w:tc>
          <w:tcPr>
            <w:tcW w:w="2172" w:type="dxa"/>
            <w:noWrap/>
            <w:hideMark/>
          </w:tcPr>
          <w:p w14:paraId="01CDF632"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£304,200</w:t>
            </w:r>
          </w:p>
        </w:tc>
        <w:tc>
          <w:tcPr>
            <w:tcW w:w="2414" w:type="dxa"/>
            <w:noWrap/>
            <w:hideMark/>
          </w:tcPr>
          <w:p w14:paraId="556A964F" w14:textId="77777777" w:rsidR="00F05AB4" w:rsidRPr="00642952" w:rsidRDefault="00F05AB4" w:rsidP="00FE3344">
            <w:pPr>
              <w:pStyle w:val="Table-Body-centred"/>
              <w:cnfStyle w:val="000000100000" w:firstRow="0" w:lastRow="0" w:firstColumn="0" w:lastColumn="0" w:oddVBand="0" w:evenVBand="0" w:oddHBand="1" w:evenHBand="0" w:firstRowFirstColumn="0" w:firstRowLastColumn="0" w:lastRowFirstColumn="0" w:lastRowLastColumn="0"/>
            </w:pPr>
            <w:r w:rsidRPr="00642952">
              <w:t>£/year</w:t>
            </w:r>
          </w:p>
        </w:tc>
      </w:tr>
      <w:tr w:rsidR="00F05AB4" w:rsidRPr="00642952" w14:paraId="064F3AA6" w14:textId="77777777" w:rsidTr="000F6BC1">
        <w:trPr>
          <w:trHeight w:val="359"/>
        </w:trPr>
        <w:tc>
          <w:tcPr>
            <w:cnfStyle w:val="001000000000" w:firstRow="0" w:lastRow="0" w:firstColumn="1" w:lastColumn="0" w:oddVBand="0" w:evenVBand="0" w:oddHBand="0" w:evenHBand="0" w:firstRowFirstColumn="0" w:firstRowLastColumn="0" w:lastRowFirstColumn="0" w:lastRowLastColumn="0"/>
            <w:tcW w:w="4827" w:type="dxa"/>
            <w:noWrap/>
            <w:hideMark/>
          </w:tcPr>
          <w:p w14:paraId="48624FE9" w14:textId="77777777" w:rsidR="00F05AB4" w:rsidRPr="00642952" w:rsidRDefault="00F05AB4" w:rsidP="00FE3344">
            <w:pPr>
              <w:pStyle w:val="Table-Body-leftaligned"/>
            </w:pPr>
            <w:r w:rsidRPr="00642952">
              <w:t>Total baseline</w:t>
            </w:r>
          </w:p>
        </w:tc>
        <w:tc>
          <w:tcPr>
            <w:tcW w:w="2172" w:type="dxa"/>
            <w:noWrap/>
            <w:hideMark/>
          </w:tcPr>
          <w:p w14:paraId="7EA08438"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£488,886</w:t>
            </w:r>
          </w:p>
        </w:tc>
        <w:tc>
          <w:tcPr>
            <w:tcW w:w="2414" w:type="dxa"/>
            <w:noWrap/>
            <w:hideMark/>
          </w:tcPr>
          <w:p w14:paraId="6EFD4BBB" w14:textId="77777777" w:rsidR="00F05AB4" w:rsidRPr="00642952" w:rsidRDefault="00F05AB4" w:rsidP="00FE3344">
            <w:pPr>
              <w:pStyle w:val="Table-Body-centred"/>
              <w:cnfStyle w:val="000000000000" w:firstRow="0" w:lastRow="0" w:firstColumn="0" w:lastColumn="0" w:oddVBand="0" w:evenVBand="0" w:oddHBand="0" w:evenHBand="0" w:firstRowFirstColumn="0" w:firstRowLastColumn="0" w:lastRowFirstColumn="0" w:lastRowLastColumn="0"/>
            </w:pPr>
            <w:r w:rsidRPr="00642952">
              <w:t>£/year</w:t>
            </w:r>
          </w:p>
        </w:tc>
      </w:tr>
      <w:tr w:rsidR="00F05AB4" w:rsidRPr="00642952" w14:paraId="0D135DD2" w14:textId="77777777" w:rsidTr="000F6BC1">
        <w:trPr>
          <w:cnfStyle w:val="010000000000" w:firstRow="0" w:lastRow="1"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827" w:type="dxa"/>
            <w:noWrap/>
            <w:hideMark/>
          </w:tcPr>
          <w:p w14:paraId="2889B392" w14:textId="77777777" w:rsidR="00F05AB4" w:rsidRPr="00642952" w:rsidRDefault="00F05AB4" w:rsidP="00FE3344">
            <w:pPr>
              <w:pStyle w:val="Table-Body-leftaligned"/>
            </w:pPr>
            <w:r w:rsidRPr="00642952">
              <w:t>Baseline per pig</w:t>
            </w:r>
          </w:p>
        </w:tc>
        <w:tc>
          <w:tcPr>
            <w:tcW w:w="2172" w:type="dxa"/>
            <w:noWrap/>
            <w:hideMark/>
          </w:tcPr>
          <w:p w14:paraId="45BAA388" w14:textId="77777777" w:rsidR="00F05AB4" w:rsidRPr="00642952" w:rsidRDefault="00F05AB4" w:rsidP="00FE3344">
            <w:pPr>
              <w:pStyle w:val="Table-Body-centred"/>
              <w:cnfStyle w:val="010000000000" w:firstRow="0" w:lastRow="1" w:firstColumn="0" w:lastColumn="0" w:oddVBand="0" w:evenVBand="0" w:oddHBand="0" w:evenHBand="0" w:firstRowFirstColumn="0" w:firstRowLastColumn="0" w:lastRowFirstColumn="0" w:lastRowLastColumn="0"/>
            </w:pPr>
            <w:r w:rsidRPr="00642952">
              <w:t>£0.42</w:t>
            </w:r>
          </w:p>
        </w:tc>
        <w:tc>
          <w:tcPr>
            <w:tcW w:w="2414" w:type="dxa"/>
            <w:noWrap/>
            <w:hideMark/>
          </w:tcPr>
          <w:p w14:paraId="24207ACA" w14:textId="77777777" w:rsidR="00F05AB4" w:rsidRPr="00642952" w:rsidRDefault="00F05AB4" w:rsidP="00FE3344">
            <w:pPr>
              <w:pStyle w:val="Table-Body-centred"/>
              <w:cnfStyle w:val="010000000000" w:firstRow="0" w:lastRow="1" w:firstColumn="0" w:lastColumn="0" w:oddVBand="0" w:evenVBand="0" w:oddHBand="0" w:evenHBand="0" w:firstRowFirstColumn="0" w:firstRowLastColumn="0" w:lastRowFirstColumn="0" w:lastRowLastColumn="0"/>
            </w:pPr>
            <w:r w:rsidRPr="00642952">
              <w:t>£/pig</w:t>
            </w:r>
          </w:p>
        </w:tc>
      </w:tr>
    </w:tbl>
    <w:p w14:paraId="1D1C637E" w14:textId="77777777" w:rsidR="00E715EF" w:rsidRDefault="00597EAD" w:rsidP="00597EAD">
      <w:r w:rsidRPr="00642952">
        <w:lastRenderedPageBreak/>
        <w:t>The results are anchored to a notional UK plant operating a current CO</w:t>
      </w:r>
      <w:r w:rsidRPr="00642952">
        <w:rPr>
          <w:rFonts w:ascii="Cambria Math" w:hAnsi="Cambria Math" w:cs="Cambria Math"/>
        </w:rPr>
        <w:t>₂</w:t>
      </w:r>
      <w:r w:rsidRPr="00642952">
        <w:t xml:space="preserve"> system under central assumptions.</w:t>
      </w:r>
    </w:p>
    <w:p w14:paraId="6A405A37" w14:textId="77777777" w:rsidR="002A7E22" w:rsidRDefault="00597EAD" w:rsidP="00597EAD">
      <w:r w:rsidRPr="00642952">
        <w:t>The baseline reflects typical domestic scale and working patterns, with throughput of around 450 pigs per hour across a standard weekly schedule (about 1.17 million pigs per year) and nine staff across pre-stun, stun and immediate post-stun areas. Operating costs cover CO</w:t>
      </w:r>
      <w:r w:rsidRPr="00642952">
        <w:rPr>
          <w:rFonts w:ascii="Cambria Math" w:hAnsi="Cambria Math" w:cs="Cambria Math"/>
        </w:rPr>
        <w:t>₂</w:t>
      </w:r>
      <w:r w:rsidRPr="00642952">
        <w:t xml:space="preserve">, electricity, water, maintenance and labour; no conversion investment is undertaken in the baseline, so the capital annuity is zero. On this basis, the central per-pig cost is £0.42. </w:t>
      </w:r>
    </w:p>
    <w:p w14:paraId="665D5F64" w14:textId="2EE38A60" w:rsidR="00597EAD" w:rsidRPr="00642952" w:rsidRDefault="00597EAD" w:rsidP="00597EAD">
      <w:r w:rsidRPr="00642952">
        <w:t>This provides the reference point for all percentage changes reported for alternative methods.</w:t>
      </w:r>
    </w:p>
    <w:p w14:paraId="27217305" w14:textId="77777777" w:rsidR="00597EAD" w:rsidRPr="00642952" w:rsidRDefault="00597EAD" w:rsidP="00597EAD">
      <w:r w:rsidRPr="00642952">
        <w:t>Labour costs use an hourly wage of £13, applied to the baseline staffing profile. This rate is based on the Skills England salary estimate for an abattoir worker, converted to an hourly wage.</w:t>
      </w:r>
      <w:r w:rsidRPr="00642952">
        <w:rPr>
          <w:vertAlign w:val="superscript"/>
        </w:rPr>
        <w:footnoteReference w:id="6"/>
      </w:r>
      <w:r w:rsidRPr="00642952">
        <w:t xml:space="preserve"> For scenarios involving extended operating hours, an overtime rate of 1.5 is assumed. </w:t>
      </w:r>
    </w:p>
    <w:p w14:paraId="31DB2608" w14:textId="599DB1C3" w:rsidR="00EE23B2" w:rsidRPr="00642952" w:rsidRDefault="00EE23B2" w:rsidP="00C06A91">
      <w:pPr>
        <w:pStyle w:val="Heading3"/>
      </w:pPr>
      <w:bookmarkStart w:id="27" w:name="_Toc216280662"/>
      <w:bookmarkStart w:id="28" w:name="_Toc224553243"/>
      <w:r w:rsidRPr="00642952">
        <w:t>4.2 Results for alternative scenarios</w:t>
      </w:r>
      <w:bookmarkEnd w:id="27"/>
      <w:bookmarkEnd w:id="28"/>
    </w:p>
    <w:p w14:paraId="1F6890B0" w14:textId="2E563177" w:rsidR="00494598" w:rsidRDefault="00494598" w:rsidP="00EE23B2">
      <w:r>
        <w:t>T</w:t>
      </w:r>
      <w:r w:rsidR="00EF3D2A" w:rsidRPr="00642952">
        <w:t xml:space="preserve">ables </w:t>
      </w:r>
      <w:r>
        <w:t>4.2 and 4.3</w:t>
      </w:r>
      <w:r w:rsidRPr="00642952">
        <w:t xml:space="preserve"> </w:t>
      </w:r>
      <w:r w:rsidR="00EF3D2A" w:rsidRPr="00642952">
        <w:t>present the estimated costs for the three alternative scenarios modelled.</w:t>
      </w:r>
    </w:p>
    <w:p w14:paraId="55EF7BA4" w14:textId="77777777" w:rsidR="00AB4BCF" w:rsidRDefault="00EF3D2A" w:rsidP="00EE23B2">
      <w:r w:rsidRPr="00642952">
        <w:t>The tables present per-pig annuity costs for each option under three sets of assumptions: central, optimistic and pessimistic. These scenarios reflect the parameter ranges described in the methods (for example, throughput effects, labour/overtime needs, capital envelopes and unit prices).</w:t>
      </w:r>
    </w:p>
    <w:p w14:paraId="1141EBC0" w14:textId="1FA34735" w:rsidR="00EE23B2" w:rsidRPr="00642952" w:rsidRDefault="00EF3D2A" w:rsidP="00EE23B2">
      <w:r w:rsidRPr="00642952">
        <w:t>All figures are in 2024 real prices. Percentage changes are reported against the CO</w:t>
      </w:r>
      <w:r w:rsidRPr="00642952">
        <w:rPr>
          <w:rFonts w:ascii="Cambria Math" w:hAnsi="Cambria Math" w:cs="Cambria Math"/>
        </w:rPr>
        <w:t>₂</w:t>
      </w:r>
      <w:r w:rsidRPr="00642952">
        <w:t xml:space="preserve"> baseline central case.</w:t>
      </w:r>
    </w:p>
    <w:p w14:paraId="3D44E862" w14:textId="77777777" w:rsidR="00CA4562" w:rsidRPr="00C06A91" w:rsidRDefault="00CA4562" w:rsidP="00C06A91">
      <w:pPr>
        <w:pStyle w:val="Tableheading"/>
        <w:jc w:val="left"/>
        <w:rPr>
          <w:sz w:val="20"/>
          <w:szCs w:val="20"/>
        </w:rPr>
      </w:pPr>
      <w:r w:rsidRPr="00C06A91">
        <w:rPr>
          <w:sz w:val="20"/>
          <w:szCs w:val="20"/>
        </w:rPr>
        <w:t xml:space="preserve">Table </w:t>
      </w:r>
      <w:r w:rsidRPr="00C06A91">
        <w:rPr>
          <w:sz w:val="20"/>
          <w:szCs w:val="20"/>
        </w:rPr>
        <w:fldChar w:fldCharType="begin"/>
      </w:r>
      <w:r w:rsidRPr="00C06A91">
        <w:rPr>
          <w:sz w:val="20"/>
          <w:szCs w:val="20"/>
        </w:rPr>
        <w:instrText>STYLEREF 1 \s</w:instrText>
      </w:r>
      <w:r w:rsidRPr="00C06A91">
        <w:rPr>
          <w:sz w:val="20"/>
          <w:szCs w:val="20"/>
        </w:rPr>
        <w:fldChar w:fldCharType="separate"/>
      </w:r>
      <w:r w:rsidRPr="00C06A91">
        <w:rPr>
          <w:sz w:val="20"/>
          <w:szCs w:val="20"/>
        </w:rPr>
        <w:t>4</w:t>
      </w:r>
      <w:r w:rsidRPr="00C06A91">
        <w:rPr>
          <w:sz w:val="20"/>
          <w:szCs w:val="20"/>
        </w:rPr>
        <w:fldChar w:fldCharType="end"/>
      </w:r>
      <w:r w:rsidRPr="00C06A91">
        <w:rPr>
          <w:sz w:val="20"/>
          <w:szCs w:val="20"/>
        </w:rPr>
        <w:t>.</w:t>
      </w:r>
      <w:r w:rsidRPr="00C06A91">
        <w:rPr>
          <w:sz w:val="20"/>
          <w:szCs w:val="20"/>
        </w:rPr>
        <w:fldChar w:fldCharType="begin"/>
      </w:r>
      <w:r w:rsidRPr="00C06A91">
        <w:rPr>
          <w:sz w:val="20"/>
          <w:szCs w:val="20"/>
        </w:rPr>
        <w:instrText>SEQ Table \* ARABIC \s 1</w:instrText>
      </w:r>
      <w:r w:rsidRPr="00C06A91">
        <w:rPr>
          <w:sz w:val="20"/>
          <w:szCs w:val="20"/>
        </w:rPr>
        <w:fldChar w:fldCharType="separate"/>
      </w:r>
      <w:r w:rsidRPr="00C06A91">
        <w:rPr>
          <w:sz w:val="20"/>
          <w:szCs w:val="20"/>
        </w:rPr>
        <w:t>2</w:t>
      </w:r>
      <w:r w:rsidRPr="00C06A91">
        <w:rPr>
          <w:sz w:val="20"/>
          <w:szCs w:val="20"/>
        </w:rPr>
        <w:fldChar w:fldCharType="end"/>
      </w:r>
      <w:r w:rsidRPr="00C06A91">
        <w:rPr>
          <w:sz w:val="20"/>
          <w:szCs w:val="20"/>
        </w:rPr>
        <w:t>: Estimated costs for slaughter methods (£/pig)</w:t>
      </w:r>
    </w:p>
    <w:tbl>
      <w:tblPr>
        <w:tblStyle w:val="ListTable6Colorful-Accent1"/>
        <w:tblW w:w="9830" w:type="dxa"/>
        <w:tblLook w:val="04A0" w:firstRow="1" w:lastRow="0" w:firstColumn="1" w:lastColumn="0" w:noHBand="0" w:noVBand="1"/>
      </w:tblPr>
      <w:tblGrid>
        <w:gridCol w:w="4115"/>
        <w:gridCol w:w="1905"/>
        <w:gridCol w:w="1905"/>
        <w:gridCol w:w="1905"/>
      </w:tblGrid>
      <w:tr w:rsidR="0080598B" w:rsidRPr="00642952" w14:paraId="20E5F99F" w14:textId="77777777" w:rsidTr="000F6BC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735ECFB2" w14:textId="77777777" w:rsidR="0080598B" w:rsidRPr="00642952" w:rsidRDefault="0080598B" w:rsidP="00C06A91">
            <w:pPr>
              <w:pStyle w:val="Table-Body-leftaligned"/>
            </w:pPr>
            <w:r w:rsidRPr="00642952">
              <w:t> </w:t>
            </w:r>
          </w:p>
        </w:tc>
        <w:tc>
          <w:tcPr>
            <w:tcW w:w="1905" w:type="dxa"/>
            <w:noWrap/>
            <w:vAlign w:val="center"/>
            <w:hideMark/>
          </w:tcPr>
          <w:p w14:paraId="1752C9FD" w14:textId="77777777" w:rsidR="0080598B" w:rsidRPr="00642952" w:rsidRDefault="0080598B"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Central</w:t>
            </w:r>
          </w:p>
        </w:tc>
        <w:tc>
          <w:tcPr>
            <w:tcW w:w="1905" w:type="dxa"/>
            <w:noWrap/>
            <w:vAlign w:val="center"/>
            <w:hideMark/>
          </w:tcPr>
          <w:p w14:paraId="5E1BBF28" w14:textId="77777777" w:rsidR="0080598B" w:rsidRPr="00642952" w:rsidRDefault="0080598B"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Optimistic</w:t>
            </w:r>
          </w:p>
        </w:tc>
        <w:tc>
          <w:tcPr>
            <w:tcW w:w="1905" w:type="dxa"/>
            <w:noWrap/>
            <w:vAlign w:val="center"/>
            <w:hideMark/>
          </w:tcPr>
          <w:p w14:paraId="69814FF9" w14:textId="77777777" w:rsidR="0080598B" w:rsidRPr="00642952" w:rsidRDefault="0080598B"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Pessimistic</w:t>
            </w:r>
          </w:p>
        </w:tc>
      </w:tr>
      <w:tr w:rsidR="0080598B" w:rsidRPr="00642952" w14:paraId="3D546F00" w14:textId="77777777" w:rsidTr="000F6BC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31A60D66" w14:textId="59FC4618" w:rsidR="0080598B" w:rsidRPr="00642952" w:rsidRDefault="0080598B" w:rsidP="00C06A91">
            <w:pPr>
              <w:pStyle w:val="Table-Body-leftaligned"/>
            </w:pPr>
            <w:r w:rsidRPr="00642952">
              <w:t>CO</w:t>
            </w:r>
            <w:r w:rsidRPr="005B6E69">
              <w:rPr>
                <w:vertAlign w:val="subscript"/>
              </w:rPr>
              <w:t>2</w:t>
            </w:r>
            <w:r w:rsidRPr="00642952">
              <w:t xml:space="preserve"> baseline</w:t>
            </w:r>
          </w:p>
        </w:tc>
        <w:tc>
          <w:tcPr>
            <w:tcW w:w="1905" w:type="dxa"/>
            <w:noWrap/>
            <w:hideMark/>
          </w:tcPr>
          <w:p w14:paraId="4A5CC437"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c>
          <w:tcPr>
            <w:tcW w:w="1905" w:type="dxa"/>
            <w:noWrap/>
            <w:hideMark/>
          </w:tcPr>
          <w:p w14:paraId="63E05ABA"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c>
          <w:tcPr>
            <w:tcW w:w="1905" w:type="dxa"/>
            <w:noWrap/>
            <w:hideMark/>
          </w:tcPr>
          <w:p w14:paraId="31058F3A"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r>
      <w:tr w:rsidR="0080598B" w:rsidRPr="00642952" w14:paraId="0378731E" w14:textId="77777777" w:rsidTr="000F6BC1">
        <w:trPr>
          <w:trHeight w:val="34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6B331F0D" w14:textId="77777777" w:rsidR="0080598B" w:rsidRPr="00642952" w:rsidRDefault="0080598B" w:rsidP="00C06A91">
            <w:pPr>
              <w:pStyle w:val="Table-Body-leftaligned"/>
            </w:pPr>
            <w:r w:rsidRPr="00642952">
              <w:t>Argon with added capacity</w:t>
            </w:r>
          </w:p>
        </w:tc>
        <w:tc>
          <w:tcPr>
            <w:tcW w:w="1905" w:type="dxa"/>
            <w:noWrap/>
            <w:hideMark/>
          </w:tcPr>
          <w:p w14:paraId="233B1D93"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1.49</w:t>
            </w:r>
          </w:p>
        </w:tc>
        <w:tc>
          <w:tcPr>
            <w:tcW w:w="1905" w:type="dxa"/>
            <w:noWrap/>
            <w:hideMark/>
          </w:tcPr>
          <w:p w14:paraId="2DEA60F4"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1.20</w:t>
            </w:r>
          </w:p>
        </w:tc>
        <w:tc>
          <w:tcPr>
            <w:tcW w:w="1905" w:type="dxa"/>
            <w:noWrap/>
            <w:hideMark/>
          </w:tcPr>
          <w:p w14:paraId="13962E3C"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1.95</w:t>
            </w:r>
          </w:p>
        </w:tc>
      </w:tr>
      <w:tr w:rsidR="0080598B" w:rsidRPr="00642952" w14:paraId="266203C5" w14:textId="77777777" w:rsidTr="000F6BC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3EE4E5AB" w14:textId="77777777" w:rsidR="0080598B" w:rsidRPr="00642952" w:rsidRDefault="0080598B" w:rsidP="00C06A91">
            <w:pPr>
              <w:pStyle w:val="Table-Body-leftaligned"/>
            </w:pPr>
            <w:r w:rsidRPr="00642952">
              <w:t>Argon with no added capacity</w:t>
            </w:r>
          </w:p>
        </w:tc>
        <w:tc>
          <w:tcPr>
            <w:tcW w:w="1905" w:type="dxa"/>
            <w:noWrap/>
            <w:hideMark/>
          </w:tcPr>
          <w:p w14:paraId="6E4BAB8F"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1.36</w:t>
            </w:r>
          </w:p>
        </w:tc>
        <w:tc>
          <w:tcPr>
            <w:tcW w:w="1905" w:type="dxa"/>
            <w:noWrap/>
            <w:hideMark/>
          </w:tcPr>
          <w:p w14:paraId="68017001"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1.15</w:t>
            </w:r>
          </w:p>
        </w:tc>
        <w:tc>
          <w:tcPr>
            <w:tcW w:w="1905" w:type="dxa"/>
            <w:noWrap/>
            <w:hideMark/>
          </w:tcPr>
          <w:p w14:paraId="1A32B54D" w14:textId="77777777" w:rsidR="0080598B" w:rsidRPr="00642952" w:rsidRDefault="0080598B"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1.82</w:t>
            </w:r>
          </w:p>
        </w:tc>
      </w:tr>
      <w:tr w:rsidR="0080598B" w:rsidRPr="00642952" w14:paraId="167A67B3" w14:textId="77777777" w:rsidTr="000F6BC1">
        <w:trPr>
          <w:trHeight w:val="34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19376A45" w14:textId="77777777" w:rsidR="0080598B" w:rsidRPr="00642952" w:rsidRDefault="0080598B" w:rsidP="00C06A91">
            <w:pPr>
              <w:pStyle w:val="Table-Body-leftaligned"/>
            </w:pPr>
            <w:r w:rsidRPr="00642952">
              <w:t>Electrical stunning</w:t>
            </w:r>
          </w:p>
        </w:tc>
        <w:tc>
          <w:tcPr>
            <w:tcW w:w="1905" w:type="dxa"/>
            <w:noWrap/>
            <w:hideMark/>
          </w:tcPr>
          <w:p w14:paraId="7DF49A67"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1.11</w:t>
            </w:r>
          </w:p>
        </w:tc>
        <w:tc>
          <w:tcPr>
            <w:tcW w:w="1905" w:type="dxa"/>
            <w:noWrap/>
            <w:hideMark/>
          </w:tcPr>
          <w:p w14:paraId="2BD44A3F"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0.85</w:t>
            </w:r>
          </w:p>
        </w:tc>
        <w:tc>
          <w:tcPr>
            <w:tcW w:w="1905" w:type="dxa"/>
            <w:noWrap/>
            <w:hideMark/>
          </w:tcPr>
          <w:p w14:paraId="0A310ADD" w14:textId="77777777" w:rsidR="0080598B" w:rsidRPr="00642952" w:rsidRDefault="0080598B"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1.82</w:t>
            </w:r>
          </w:p>
        </w:tc>
      </w:tr>
    </w:tbl>
    <w:p w14:paraId="5458274E" w14:textId="77777777" w:rsidR="00F75DBF" w:rsidRPr="00642952" w:rsidRDefault="00F75DBF" w:rsidP="00C06A91">
      <w:pPr>
        <w:pStyle w:val="Table-Body-leftaligned"/>
      </w:pPr>
    </w:p>
    <w:p w14:paraId="1DD3DB35" w14:textId="77777777" w:rsidR="00DD62A0" w:rsidRDefault="00DD62A0" w:rsidP="00C06A91">
      <w:pPr>
        <w:pStyle w:val="Table-Body-leftaligned"/>
        <w:rPr>
          <w:b/>
          <w:bCs/>
          <w:sz w:val="20"/>
          <w:szCs w:val="20"/>
        </w:rPr>
      </w:pPr>
    </w:p>
    <w:p w14:paraId="26DE1705" w14:textId="77777777" w:rsidR="00863DD0" w:rsidRDefault="00863DD0" w:rsidP="00C06A91">
      <w:pPr>
        <w:pStyle w:val="Table-Body-leftaligned"/>
        <w:rPr>
          <w:b/>
          <w:bCs/>
          <w:sz w:val="20"/>
          <w:szCs w:val="20"/>
        </w:rPr>
      </w:pPr>
    </w:p>
    <w:p w14:paraId="14DA88BA" w14:textId="77777777" w:rsidR="00863DD0" w:rsidRDefault="00863DD0" w:rsidP="00C06A91">
      <w:pPr>
        <w:pStyle w:val="Table-Body-leftaligned"/>
        <w:rPr>
          <w:b/>
          <w:bCs/>
          <w:sz w:val="20"/>
          <w:szCs w:val="20"/>
        </w:rPr>
      </w:pPr>
    </w:p>
    <w:p w14:paraId="2FE22745" w14:textId="77777777" w:rsidR="00863DD0" w:rsidRDefault="00863DD0" w:rsidP="00C06A91">
      <w:pPr>
        <w:pStyle w:val="Table-Body-leftaligned"/>
        <w:rPr>
          <w:b/>
          <w:bCs/>
          <w:sz w:val="20"/>
          <w:szCs w:val="20"/>
        </w:rPr>
      </w:pPr>
    </w:p>
    <w:p w14:paraId="09E9FE0C" w14:textId="77777777" w:rsidR="00863DD0" w:rsidRDefault="00863DD0" w:rsidP="00C06A91">
      <w:pPr>
        <w:pStyle w:val="Table-Body-leftaligned"/>
        <w:rPr>
          <w:b/>
          <w:bCs/>
          <w:sz w:val="20"/>
          <w:szCs w:val="20"/>
        </w:rPr>
      </w:pPr>
    </w:p>
    <w:p w14:paraId="675C7DBA" w14:textId="77777777" w:rsidR="00DD62A0" w:rsidRDefault="00DD62A0" w:rsidP="00C06A91">
      <w:pPr>
        <w:pStyle w:val="Table-Body-leftaligned"/>
        <w:rPr>
          <w:b/>
          <w:bCs/>
          <w:sz w:val="20"/>
          <w:szCs w:val="20"/>
        </w:rPr>
      </w:pPr>
    </w:p>
    <w:p w14:paraId="27644294" w14:textId="77777777" w:rsidR="00DD62A0" w:rsidRDefault="00DD62A0" w:rsidP="00C06A91">
      <w:pPr>
        <w:pStyle w:val="Table-Body-leftaligned"/>
        <w:rPr>
          <w:b/>
          <w:bCs/>
          <w:sz w:val="20"/>
          <w:szCs w:val="20"/>
        </w:rPr>
      </w:pPr>
    </w:p>
    <w:p w14:paraId="4A2D86A7" w14:textId="77777777" w:rsidR="00DD62A0" w:rsidRDefault="00DD62A0" w:rsidP="00C06A91">
      <w:pPr>
        <w:pStyle w:val="Table-Body-leftaligned"/>
        <w:rPr>
          <w:b/>
          <w:bCs/>
          <w:sz w:val="20"/>
          <w:szCs w:val="20"/>
        </w:rPr>
      </w:pPr>
    </w:p>
    <w:p w14:paraId="72456999" w14:textId="3E792FDA" w:rsidR="001214F6" w:rsidRPr="00C06A91" w:rsidRDefault="001214F6" w:rsidP="00C06A91">
      <w:pPr>
        <w:pStyle w:val="Table-Body-leftaligned"/>
        <w:rPr>
          <w:b/>
          <w:bCs/>
          <w:sz w:val="20"/>
          <w:szCs w:val="20"/>
        </w:rPr>
      </w:pPr>
      <w:r w:rsidRPr="00C06A91">
        <w:rPr>
          <w:b/>
          <w:bCs/>
          <w:sz w:val="20"/>
          <w:szCs w:val="20"/>
        </w:rPr>
        <w:lastRenderedPageBreak/>
        <w:t xml:space="preserve">Table </w:t>
      </w:r>
      <w:r w:rsidRPr="00C06A91">
        <w:rPr>
          <w:b/>
          <w:bCs/>
          <w:sz w:val="20"/>
          <w:szCs w:val="20"/>
        </w:rPr>
        <w:fldChar w:fldCharType="begin"/>
      </w:r>
      <w:r w:rsidRPr="00C06A91">
        <w:rPr>
          <w:b/>
          <w:bCs/>
          <w:sz w:val="20"/>
          <w:szCs w:val="20"/>
        </w:rPr>
        <w:instrText>STYLEREF 1 \s</w:instrText>
      </w:r>
      <w:r w:rsidRPr="00C06A91">
        <w:rPr>
          <w:b/>
          <w:bCs/>
          <w:sz w:val="20"/>
          <w:szCs w:val="20"/>
        </w:rPr>
        <w:fldChar w:fldCharType="separate"/>
      </w:r>
      <w:r w:rsidRPr="00C06A91">
        <w:rPr>
          <w:b/>
          <w:bCs/>
          <w:sz w:val="20"/>
          <w:szCs w:val="20"/>
        </w:rPr>
        <w:t>4</w:t>
      </w:r>
      <w:r w:rsidRPr="00C06A91">
        <w:rPr>
          <w:b/>
          <w:bCs/>
          <w:sz w:val="20"/>
          <w:szCs w:val="20"/>
        </w:rPr>
        <w:fldChar w:fldCharType="end"/>
      </w:r>
      <w:r w:rsidRPr="00C06A91">
        <w:rPr>
          <w:b/>
          <w:bCs/>
          <w:sz w:val="20"/>
          <w:szCs w:val="20"/>
        </w:rPr>
        <w:t>.</w:t>
      </w:r>
      <w:r w:rsidRPr="00C06A91">
        <w:rPr>
          <w:b/>
          <w:bCs/>
          <w:sz w:val="20"/>
          <w:szCs w:val="20"/>
        </w:rPr>
        <w:fldChar w:fldCharType="begin"/>
      </w:r>
      <w:r w:rsidRPr="00C06A91">
        <w:rPr>
          <w:b/>
          <w:bCs/>
          <w:sz w:val="20"/>
          <w:szCs w:val="20"/>
        </w:rPr>
        <w:instrText>SEQ Table \* ARABIC \s 1</w:instrText>
      </w:r>
      <w:r w:rsidRPr="00C06A91">
        <w:rPr>
          <w:b/>
          <w:bCs/>
          <w:sz w:val="20"/>
          <w:szCs w:val="20"/>
        </w:rPr>
        <w:fldChar w:fldCharType="separate"/>
      </w:r>
      <w:r w:rsidRPr="00C06A91">
        <w:rPr>
          <w:b/>
          <w:bCs/>
          <w:sz w:val="20"/>
          <w:szCs w:val="20"/>
        </w:rPr>
        <w:t>3</w:t>
      </w:r>
      <w:r w:rsidRPr="00C06A91">
        <w:rPr>
          <w:b/>
          <w:bCs/>
          <w:sz w:val="20"/>
          <w:szCs w:val="20"/>
        </w:rPr>
        <w:fldChar w:fldCharType="end"/>
      </w:r>
      <w:r w:rsidRPr="00C06A91">
        <w:rPr>
          <w:b/>
          <w:bCs/>
          <w:sz w:val="20"/>
          <w:szCs w:val="20"/>
        </w:rPr>
        <w:t>: Change in per pig costs relative to baseline (%)</w:t>
      </w:r>
    </w:p>
    <w:tbl>
      <w:tblPr>
        <w:tblStyle w:val="ListTable2-Accent1"/>
        <w:tblW w:w="9615" w:type="dxa"/>
        <w:tblLook w:val="04A0" w:firstRow="1" w:lastRow="0" w:firstColumn="1" w:lastColumn="0" w:noHBand="0" w:noVBand="1"/>
      </w:tblPr>
      <w:tblGrid>
        <w:gridCol w:w="4026"/>
        <w:gridCol w:w="1863"/>
        <w:gridCol w:w="1863"/>
        <w:gridCol w:w="1863"/>
      </w:tblGrid>
      <w:tr w:rsidR="00AA0470" w:rsidRPr="00642952" w14:paraId="6D071E31" w14:textId="77777777" w:rsidTr="000F6BC1">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026" w:type="dxa"/>
            <w:noWrap/>
            <w:hideMark/>
          </w:tcPr>
          <w:p w14:paraId="7963AEC5" w14:textId="77777777" w:rsidR="00AA0470" w:rsidRPr="00642952" w:rsidRDefault="00AA0470" w:rsidP="00C06A91">
            <w:pPr>
              <w:pStyle w:val="Table-Body-leftaligned"/>
            </w:pPr>
            <w:r w:rsidRPr="00642952">
              <w:t> </w:t>
            </w:r>
          </w:p>
        </w:tc>
        <w:tc>
          <w:tcPr>
            <w:tcW w:w="1863" w:type="dxa"/>
            <w:noWrap/>
            <w:hideMark/>
          </w:tcPr>
          <w:p w14:paraId="0034B8A0" w14:textId="77777777" w:rsidR="00AA0470" w:rsidRPr="00642952" w:rsidRDefault="00AA0470"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Central</w:t>
            </w:r>
          </w:p>
        </w:tc>
        <w:tc>
          <w:tcPr>
            <w:tcW w:w="1863" w:type="dxa"/>
            <w:noWrap/>
            <w:hideMark/>
          </w:tcPr>
          <w:p w14:paraId="019B8BC0" w14:textId="77777777" w:rsidR="00AA0470" w:rsidRPr="00642952" w:rsidRDefault="00AA0470"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Optimistic</w:t>
            </w:r>
          </w:p>
        </w:tc>
        <w:tc>
          <w:tcPr>
            <w:tcW w:w="1863" w:type="dxa"/>
            <w:noWrap/>
            <w:hideMark/>
          </w:tcPr>
          <w:p w14:paraId="474CEC04" w14:textId="77777777" w:rsidR="00AA0470" w:rsidRPr="00642952" w:rsidRDefault="00AA0470" w:rsidP="00C06A91">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Pessimistic</w:t>
            </w:r>
          </w:p>
        </w:tc>
      </w:tr>
      <w:tr w:rsidR="00AA0470" w:rsidRPr="00642952" w14:paraId="1AB0C451" w14:textId="77777777" w:rsidTr="000F6BC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026" w:type="dxa"/>
            <w:noWrap/>
            <w:hideMark/>
          </w:tcPr>
          <w:p w14:paraId="451E40ED" w14:textId="77777777" w:rsidR="00AA0470" w:rsidRPr="00642952" w:rsidRDefault="00AA0470" w:rsidP="00C06A91">
            <w:pPr>
              <w:pStyle w:val="Table-Body-leftaligned"/>
            </w:pPr>
            <w:r w:rsidRPr="00642952">
              <w:t>CO</w:t>
            </w:r>
            <w:r w:rsidRPr="005B6E69">
              <w:rPr>
                <w:vertAlign w:val="subscript"/>
              </w:rPr>
              <w:t>2</w:t>
            </w:r>
            <w:r w:rsidRPr="00642952">
              <w:t xml:space="preserve"> baseline</w:t>
            </w:r>
          </w:p>
        </w:tc>
        <w:tc>
          <w:tcPr>
            <w:tcW w:w="1863" w:type="dxa"/>
            <w:noWrap/>
            <w:hideMark/>
          </w:tcPr>
          <w:p w14:paraId="34AD9924" w14:textId="656B2058" w:rsidR="00AA0470" w:rsidRPr="00642952" w:rsidRDefault="00C06A91"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t>–</w:t>
            </w:r>
          </w:p>
        </w:tc>
        <w:tc>
          <w:tcPr>
            <w:tcW w:w="1863" w:type="dxa"/>
            <w:noWrap/>
            <w:hideMark/>
          </w:tcPr>
          <w:p w14:paraId="02D8DA24" w14:textId="3A0C536A" w:rsidR="00AA0470" w:rsidRPr="00642952" w:rsidRDefault="00C06A91"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t>–</w:t>
            </w:r>
          </w:p>
        </w:tc>
        <w:tc>
          <w:tcPr>
            <w:tcW w:w="1863" w:type="dxa"/>
            <w:noWrap/>
            <w:hideMark/>
          </w:tcPr>
          <w:p w14:paraId="5435454F" w14:textId="35338A58" w:rsidR="00AA0470" w:rsidRPr="00642952" w:rsidRDefault="00C06A91"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t>–</w:t>
            </w:r>
          </w:p>
        </w:tc>
      </w:tr>
      <w:tr w:rsidR="00AA0470" w:rsidRPr="00642952" w14:paraId="60966B95" w14:textId="77777777" w:rsidTr="000F6BC1">
        <w:trPr>
          <w:trHeight w:val="371"/>
        </w:trPr>
        <w:tc>
          <w:tcPr>
            <w:cnfStyle w:val="001000000000" w:firstRow="0" w:lastRow="0" w:firstColumn="1" w:lastColumn="0" w:oddVBand="0" w:evenVBand="0" w:oddHBand="0" w:evenHBand="0" w:firstRowFirstColumn="0" w:firstRowLastColumn="0" w:lastRowFirstColumn="0" w:lastRowLastColumn="0"/>
            <w:tcW w:w="4026" w:type="dxa"/>
            <w:noWrap/>
            <w:hideMark/>
          </w:tcPr>
          <w:p w14:paraId="0A680F07" w14:textId="77777777" w:rsidR="00AA0470" w:rsidRPr="00642952" w:rsidRDefault="00AA0470" w:rsidP="00C06A91">
            <w:pPr>
              <w:pStyle w:val="Table-Body-leftaligned"/>
            </w:pPr>
            <w:r w:rsidRPr="00642952">
              <w:t>Argon with added capacity</w:t>
            </w:r>
          </w:p>
        </w:tc>
        <w:tc>
          <w:tcPr>
            <w:tcW w:w="1863" w:type="dxa"/>
            <w:noWrap/>
            <w:hideMark/>
          </w:tcPr>
          <w:p w14:paraId="55152A7A"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257%</w:t>
            </w:r>
          </w:p>
        </w:tc>
        <w:tc>
          <w:tcPr>
            <w:tcW w:w="1863" w:type="dxa"/>
            <w:noWrap/>
            <w:hideMark/>
          </w:tcPr>
          <w:p w14:paraId="280B673C"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186%</w:t>
            </w:r>
          </w:p>
        </w:tc>
        <w:tc>
          <w:tcPr>
            <w:tcW w:w="1863" w:type="dxa"/>
            <w:noWrap/>
            <w:hideMark/>
          </w:tcPr>
          <w:p w14:paraId="58842543"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367%</w:t>
            </w:r>
          </w:p>
        </w:tc>
      </w:tr>
      <w:tr w:rsidR="00AA0470" w:rsidRPr="00642952" w14:paraId="51CABD9E" w14:textId="77777777" w:rsidTr="000F6BC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026" w:type="dxa"/>
            <w:noWrap/>
            <w:hideMark/>
          </w:tcPr>
          <w:p w14:paraId="05AA10B8" w14:textId="77777777" w:rsidR="00AA0470" w:rsidRPr="00642952" w:rsidRDefault="00AA0470" w:rsidP="00C06A91">
            <w:pPr>
              <w:pStyle w:val="Table-Body-leftaligned"/>
            </w:pPr>
            <w:r w:rsidRPr="00642952">
              <w:t>Argon with no added capacity</w:t>
            </w:r>
          </w:p>
        </w:tc>
        <w:tc>
          <w:tcPr>
            <w:tcW w:w="1863" w:type="dxa"/>
            <w:noWrap/>
            <w:hideMark/>
          </w:tcPr>
          <w:p w14:paraId="6850114C" w14:textId="77777777" w:rsidR="00AA0470" w:rsidRPr="00642952" w:rsidRDefault="00AA0470"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226%</w:t>
            </w:r>
          </w:p>
        </w:tc>
        <w:tc>
          <w:tcPr>
            <w:tcW w:w="1863" w:type="dxa"/>
            <w:noWrap/>
            <w:hideMark/>
          </w:tcPr>
          <w:p w14:paraId="62B48220" w14:textId="77777777" w:rsidR="00AA0470" w:rsidRPr="00642952" w:rsidRDefault="00AA0470"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176%</w:t>
            </w:r>
          </w:p>
        </w:tc>
        <w:tc>
          <w:tcPr>
            <w:tcW w:w="1863" w:type="dxa"/>
            <w:noWrap/>
            <w:hideMark/>
          </w:tcPr>
          <w:p w14:paraId="41F0E695" w14:textId="77777777" w:rsidR="00AA0470" w:rsidRPr="00642952" w:rsidRDefault="00AA0470" w:rsidP="00C06A91">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335%</w:t>
            </w:r>
          </w:p>
        </w:tc>
      </w:tr>
      <w:tr w:rsidR="00AA0470" w:rsidRPr="00642952" w14:paraId="6B6FD98A" w14:textId="77777777" w:rsidTr="000F6BC1">
        <w:trPr>
          <w:trHeight w:val="371"/>
        </w:trPr>
        <w:tc>
          <w:tcPr>
            <w:cnfStyle w:val="001000000000" w:firstRow="0" w:lastRow="0" w:firstColumn="1" w:lastColumn="0" w:oddVBand="0" w:evenVBand="0" w:oddHBand="0" w:evenHBand="0" w:firstRowFirstColumn="0" w:firstRowLastColumn="0" w:lastRowFirstColumn="0" w:lastRowLastColumn="0"/>
            <w:tcW w:w="4026" w:type="dxa"/>
            <w:noWrap/>
            <w:hideMark/>
          </w:tcPr>
          <w:p w14:paraId="69D927EB" w14:textId="77777777" w:rsidR="00AA0470" w:rsidRPr="00642952" w:rsidRDefault="00AA0470" w:rsidP="00C06A91">
            <w:pPr>
              <w:pStyle w:val="Table-Body-leftaligned"/>
            </w:pPr>
            <w:r w:rsidRPr="00642952">
              <w:t>Electrical stunning</w:t>
            </w:r>
          </w:p>
        </w:tc>
        <w:tc>
          <w:tcPr>
            <w:tcW w:w="1863" w:type="dxa"/>
            <w:noWrap/>
            <w:hideMark/>
          </w:tcPr>
          <w:p w14:paraId="4ADD5430"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165%</w:t>
            </w:r>
          </w:p>
        </w:tc>
        <w:tc>
          <w:tcPr>
            <w:tcW w:w="1863" w:type="dxa"/>
            <w:noWrap/>
            <w:hideMark/>
          </w:tcPr>
          <w:p w14:paraId="27F38BE8"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104%</w:t>
            </w:r>
          </w:p>
        </w:tc>
        <w:tc>
          <w:tcPr>
            <w:tcW w:w="1863" w:type="dxa"/>
            <w:noWrap/>
            <w:hideMark/>
          </w:tcPr>
          <w:p w14:paraId="454B0E49" w14:textId="77777777" w:rsidR="00AA0470" w:rsidRPr="00642952" w:rsidRDefault="00AA0470" w:rsidP="00C06A91">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335%</w:t>
            </w:r>
          </w:p>
        </w:tc>
      </w:tr>
    </w:tbl>
    <w:p w14:paraId="6B4B89A3" w14:textId="77777777" w:rsidR="001214F6" w:rsidRPr="00642952" w:rsidRDefault="001214F6" w:rsidP="00800F24"/>
    <w:p w14:paraId="02019B19" w14:textId="5DBECD2A" w:rsidR="008638DD" w:rsidRPr="00642952" w:rsidRDefault="008638DD" w:rsidP="008638DD">
      <w:r w:rsidRPr="00642952">
        <w:t xml:space="preserve">Under central assumptions, all alternatives are materially more expensive per pig than the baseline. Argon with added capacity is about £1.49/pig, </w:t>
      </w:r>
      <w:r w:rsidR="00354243" w:rsidRPr="00642952">
        <w:t>a</w:t>
      </w:r>
      <w:r w:rsidRPr="00642952">
        <w:t xml:space="preserve">rgon with no added capacity is about £1.36/pig and </w:t>
      </w:r>
      <w:r w:rsidR="00354243" w:rsidRPr="00642952">
        <w:t>e</w:t>
      </w:r>
      <w:r w:rsidRPr="00642952">
        <w:t>lectrical stunning is about £1.11/pig, compared with £0.42/pig for CO</w:t>
      </w:r>
      <w:r w:rsidRPr="00642952">
        <w:rPr>
          <w:rFonts w:ascii="Cambria Math" w:hAnsi="Cambria Math" w:cs="Cambria Math"/>
        </w:rPr>
        <w:t>₂</w:t>
      </w:r>
      <w:r w:rsidRPr="00642952">
        <w:t>. Expressed relative to baseline, this is an increase of 257</w:t>
      </w:r>
      <w:r w:rsidR="00E0185F" w:rsidRPr="00642952">
        <w:t>%</w:t>
      </w:r>
      <w:r w:rsidRPr="00642952">
        <w:t xml:space="preserve"> for </w:t>
      </w:r>
      <w:r w:rsidR="00E0185F" w:rsidRPr="00642952">
        <w:t>a</w:t>
      </w:r>
      <w:r w:rsidRPr="00642952">
        <w:t>rgon with added capacity, 226</w:t>
      </w:r>
      <w:r w:rsidR="00E0185F" w:rsidRPr="00642952">
        <w:t>%</w:t>
      </w:r>
      <w:r w:rsidRPr="00642952">
        <w:t xml:space="preserve"> for </w:t>
      </w:r>
      <w:r w:rsidR="00E0185F" w:rsidRPr="00642952">
        <w:t>a</w:t>
      </w:r>
      <w:r w:rsidRPr="00642952">
        <w:rPr>
          <w:bCs/>
        </w:rPr>
        <w:t>rgon with no added capacity</w:t>
      </w:r>
      <w:r w:rsidRPr="00642952">
        <w:t xml:space="preserve"> and 165</w:t>
      </w:r>
      <w:r w:rsidR="00E0185F" w:rsidRPr="00642952">
        <w:t>%</w:t>
      </w:r>
      <w:r w:rsidRPr="00642952">
        <w:t xml:space="preserve"> for </w:t>
      </w:r>
      <w:r w:rsidR="00E0185F" w:rsidRPr="00642952">
        <w:t>e</w:t>
      </w:r>
      <w:r w:rsidRPr="00642952">
        <w:t xml:space="preserve">lectrical </w:t>
      </w:r>
      <w:r w:rsidR="00E0185F" w:rsidRPr="00642952">
        <w:t>s</w:t>
      </w:r>
      <w:r w:rsidRPr="00642952">
        <w:t xml:space="preserve">tunning. </w:t>
      </w:r>
    </w:p>
    <w:p w14:paraId="12A7D26B" w14:textId="4D4C7A2D" w:rsidR="008638DD" w:rsidRPr="00642952" w:rsidRDefault="008638DD" w:rsidP="008638DD">
      <w:r w:rsidRPr="00642952">
        <w:t xml:space="preserve">The optimistic results still show sizeable uplifts: </w:t>
      </w:r>
      <w:r w:rsidR="00E0185F" w:rsidRPr="00642952">
        <w:t>a</w:t>
      </w:r>
      <w:r w:rsidRPr="00642952">
        <w:t xml:space="preserve">rgon with added capacity and </w:t>
      </w:r>
      <w:r w:rsidR="00E0185F" w:rsidRPr="00642952">
        <w:t>a</w:t>
      </w:r>
      <w:r w:rsidRPr="00642952">
        <w:t xml:space="preserve">rgon </w:t>
      </w:r>
      <w:r w:rsidRPr="00642952">
        <w:rPr>
          <w:bCs/>
        </w:rPr>
        <w:t xml:space="preserve">with no added capacity </w:t>
      </w:r>
      <w:r w:rsidRPr="00642952">
        <w:t>are 186</w:t>
      </w:r>
      <w:r w:rsidR="00894741" w:rsidRPr="00642952">
        <w:t>%</w:t>
      </w:r>
      <w:r w:rsidRPr="00642952">
        <w:t xml:space="preserve"> and 176</w:t>
      </w:r>
      <w:r w:rsidR="00894741" w:rsidRPr="00642952">
        <w:t>%</w:t>
      </w:r>
      <w:r w:rsidRPr="00642952">
        <w:t xml:space="preserve"> above baseline, while </w:t>
      </w:r>
      <w:r w:rsidR="00894741" w:rsidRPr="00642952">
        <w:t xml:space="preserve">electrical stunning </w:t>
      </w:r>
      <w:r w:rsidRPr="00642952">
        <w:t>is 104</w:t>
      </w:r>
      <w:r w:rsidR="00894741" w:rsidRPr="00642952">
        <w:t>%</w:t>
      </w:r>
      <w:r w:rsidRPr="00642952">
        <w:t xml:space="preserve"> above baseline. At the other end of the range, the pessimistic results rise to 367</w:t>
      </w:r>
      <w:r w:rsidR="00894741" w:rsidRPr="00642952">
        <w:t>%</w:t>
      </w:r>
      <w:r w:rsidRPr="00642952">
        <w:t xml:space="preserve"> for </w:t>
      </w:r>
      <w:r w:rsidR="00894741" w:rsidRPr="00642952">
        <w:t>a</w:t>
      </w:r>
      <w:r w:rsidRPr="00642952">
        <w:t>rgon with added capacity and 335</w:t>
      </w:r>
      <w:r w:rsidR="00894741" w:rsidRPr="00642952">
        <w:t>%</w:t>
      </w:r>
      <w:r w:rsidRPr="00642952">
        <w:t xml:space="preserve"> for both </w:t>
      </w:r>
      <w:r w:rsidR="00894741" w:rsidRPr="00642952">
        <w:t>a</w:t>
      </w:r>
      <w:r w:rsidRPr="00642952">
        <w:t xml:space="preserve">rgon </w:t>
      </w:r>
      <w:r w:rsidRPr="00642952">
        <w:rPr>
          <w:bCs/>
        </w:rPr>
        <w:t xml:space="preserve">with no added capacity </w:t>
      </w:r>
      <w:r w:rsidRPr="00642952">
        <w:t xml:space="preserve">and </w:t>
      </w:r>
      <w:r w:rsidR="00894741" w:rsidRPr="00642952">
        <w:t>e</w:t>
      </w:r>
      <w:r w:rsidRPr="00642952">
        <w:t>lectrical</w:t>
      </w:r>
      <w:r w:rsidR="00894741" w:rsidRPr="00642952">
        <w:t xml:space="preserve"> stunning</w:t>
      </w:r>
      <w:r w:rsidRPr="00642952">
        <w:t>. These ranges illustrate that totals are sensitive to plausible variation in throughput penalties, staffing and overtime requirements, capital costs and energy prices.</w:t>
      </w:r>
    </w:p>
    <w:p w14:paraId="4B401F86" w14:textId="094A094F" w:rsidR="008638DD" w:rsidRPr="00642952" w:rsidRDefault="008638DD" w:rsidP="008638DD">
      <w:r w:rsidRPr="00642952">
        <w:t>It is important to note what is not included in these per-pig cost estimates because of data limitations and scope. Annuitised capex excludes the diversion and haulage costs that would arise if animals were routed to other sites during conversion (which would require retailer consent and may trigger additional approvals and administrative steps), any export-related effects and site-specific relocation costs where existing space is insufficient. Where these costs are incurred in practice, they would add to the figures shown here.</w:t>
      </w:r>
    </w:p>
    <w:p w14:paraId="7606418D" w14:textId="52601432" w:rsidR="008638DD" w:rsidRPr="00642952" w:rsidRDefault="00FF50F5" w:rsidP="008638DD">
      <w:r>
        <w:t>T</w:t>
      </w:r>
      <w:r w:rsidR="008638DD" w:rsidRPr="00642952">
        <w:t xml:space="preserve">able </w:t>
      </w:r>
      <w:r>
        <w:t>4.4</w:t>
      </w:r>
      <w:r w:rsidRPr="00642952">
        <w:t xml:space="preserve"> </w:t>
      </w:r>
      <w:r w:rsidR="008638DD" w:rsidRPr="00642952">
        <w:t>presents the cost per pig of each alternative excluding capital costs. This provides a comparison of the day-to-day operating costs of the alternatives, abstracting from the upfront costs of conversion and associated downtime.</w:t>
      </w:r>
    </w:p>
    <w:p w14:paraId="70A3F52D" w14:textId="77777777" w:rsidR="008128C6" w:rsidRPr="00642952" w:rsidRDefault="008128C6" w:rsidP="00800F24">
      <w:pPr>
        <w:rPr>
          <w:b/>
          <w:bCs/>
        </w:rPr>
      </w:pPr>
    </w:p>
    <w:p w14:paraId="3B71916B" w14:textId="4B1E9E19" w:rsidR="001214F6" w:rsidRPr="00642952" w:rsidRDefault="00674A01" w:rsidP="00800F24">
      <w:pPr>
        <w:rPr>
          <w:b/>
          <w:bCs/>
        </w:rPr>
      </w:pPr>
      <w:r w:rsidRPr="00642952">
        <w:rPr>
          <w:b/>
          <w:bCs/>
        </w:rPr>
        <w:t xml:space="preserve">Table </w:t>
      </w:r>
      <w:r w:rsidRPr="00642952">
        <w:rPr>
          <w:b/>
          <w:bCs/>
        </w:rPr>
        <w:fldChar w:fldCharType="begin"/>
      </w:r>
      <w:r w:rsidRPr="00642952">
        <w:rPr>
          <w:b/>
          <w:bCs/>
        </w:rPr>
        <w:instrText>STYLEREF 1 \s</w:instrText>
      </w:r>
      <w:r w:rsidRPr="00642952">
        <w:rPr>
          <w:b/>
          <w:bCs/>
        </w:rPr>
        <w:fldChar w:fldCharType="separate"/>
      </w:r>
      <w:r w:rsidRPr="00642952">
        <w:rPr>
          <w:b/>
          <w:bCs/>
        </w:rPr>
        <w:t>4</w:t>
      </w:r>
      <w:r w:rsidRPr="00642952">
        <w:rPr>
          <w:b/>
          <w:bCs/>
        </w:rPr>
        <w:fldChar w:fldCharType="end"/>
      </w:r>
      <w:r w:rsidRPr="00642952">
        <w:rPr>
          <w:b/>
          <w:bCs/>
        </w:rPr>
        <w:t>.</w:t>
      </w:r>
      <w:r w:rsidRPr="00642952">
        <w:rPr>
          <w:b/>
          <w:bCs/>
        </w:rPr>
        <w:fldChar w:fldCharType="begin"/>
      </w:r>
      <w:r w:rsidRPr="00642952">
        <w:rPr>
          <w:b/>
          <w:bCs/>
        </w:rPr>
        <w:instrText>SEQ Table \* ARABIC \s 1</w:instrText>
      </w:r>
      <w:r w:rsidRPr="00642952">
        <w:rPr>
          <w:b/>
          <w:bCs/>
        </w:rPr>
        <w:fldChar w:fldCharType="separate"/>
      </w:r>
      <w:r w:rsidRPr="00642952">
        <w:rPr>
          <w:b/>
          <w:bCs/>
        </w:rPr>
        <w:t>4</w:t>
      </w:r>
      <w:r w:rsidRPr="00642952">
        <w:rPr>
          <w:b/>
          <w:bCs/>
        </w:rPr>
        <w:fldChar w:fldCharType="end"/>
      </w:r>
      <w:r w:rsidRPr="00642952">
        <w:rPr>
          <w:b/>
          <w:bCs/>
        </w:rPr>
        <w:t>: Estimated costs for slaughter methods excluding capital costs (£/pig)</w:t>
      </w:r>
    </w:p>
    <w:tbl>
      <w:tblPr>
        <w:tblStyle w:val="ListTable2-Accent1"/>
        <w:tblW w:w="9949" w:type="dxa"/>
        <w:tblLook w:val="04A0" w:firstRow="1" w:lastRow="0" w:firstColumn="1" w:lastColumn="0" w:noHBand="0" w:noVBand="1"/>
      </w:tblPr>
      <w:tblGrid>
        <w:gridCol w:w="4165"/>
        <w:gridCol w:w="1928"/>
        <w:gridCol w:w="1928"/>
        <w:gridCol w:w="1928"/>
      </w:tblGrid>
      <w:tr w:rsidR="008128C6" w:rsidRPr="00642952" w14:paraId="3F944DFE" w14:textId="77777777" w:rsidTr="000F6BC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65" w:type="dxa"/>
            <w:noWrap/>
            <w:hideMark/>
          </w:tcPr>
          <w:p w14:paraId="4EC88075" w14:textId="77777777" w:rsidR="008128C6" w:rsidRPr="00642952" w:rsidRDefault="008128C6" w:rsidP="00E732ED">
            <w:pPr>
              <w:pStyle w:val="Table-Body-leftaligned"/>
            </w:pPr>
            <w:r w:rsidRPr="00642952">
              <w:t> </w:t>
            </w:r>
          </w:p>
        </w:tc>
        <w:tc>
          <w:tcPr>
            <w:tcW w:w="1928" w:type="dxa"/>
            <w:noWrap/>
            <w:hideMark/>
          </w:tcPr>
          <w:p w14:paraId="7CF4F0BA" w14:textId="77777777" w:rsidR="008128C6" w:rsidRPr="00642952" w:rsidRDefault="008128C6" w:rsidP="00E732ED">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Central</w:t>
            </w:r>
          </w:p>
        </w:tc>
        <w:tc>
          <w:tcPr>
            <w:tcW w:w="1928" w:type="dxa"/>
            <w:noWrap/>
            <w:hideMark/>
          </w:tcPr>
          <w:p w14:paraId="5BC402CF" w14:textId="77777777" w:rsidR="008128C6" w:rsidRPr="00642952" w:rsidRDefault="008128C6" w:rsidP="00E732ED">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Optimistic</w:t>
            </w:r>
          </w:p>
        </w:tc>
        <w:tc>
          <w:tcPr>
            <w:tcW w:w="1928" w:type="dxa"/>
            <w:noWrap/>
            <w:hideMark/>
          </w:tcPr>
          <w:p w14:paraId="09ACA721" w14:textId="77777777" w:rsidR="008128C6" w:rsidRPr="00642952" w:rsidRDefault="008128C6" w:rsidP="00E732ED">
            <w:pPr>
              <w:pStyle w:val="Table-Body-leftaligned"/>
              <w:jc w:val="center"/>
              <w:cnfStyle w:val="100000000000" w:firstRow="1" w:lastRow="0" w:firstColumn="0" w:lastColumn="0" w:oddVBand="0" w:evenVBand="0" w:oddHBand="0" w:evenHBand="0" w:firstRowFirstColumn="0" w:firstRowLastColumn="0" w:lastRowFirstColumn="0" w:lastRowLastColumn="0"/>
            </w:pPr>
            <w:r w:rsidRPr="00642952">
              <w:t>Pessimistic</w:t>
            </w:r>
          </w:p>
        </w:tc>
      </w:tr>
      <w:tr w:rsidR="008128C6" w:rsidRPr="00642952" w14:paraId="37753769" w14:textId="77777777" w:rsidTr="000F6BC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65" w:type="dxa"/>
            <w:noWrap/>
            <w:hideMark/>
          </w:tcPr>
          <w:p w14:paraId="3780DB2C" w14:textId="77777777" w:rsidR="008128C6" w:rsidRPr="00642952" w:rsidRDefault="008128C6" w:rsidP="00E732ED">
            <w:pPr>
              <w:pStyle w:val="Table-Body-leftaligned"/>
            </w:pPr>
            <w:r w:rsidRPr="00642952">
              <w:t>CO</w:t>
            </w:r>
            <w:r w:rsidRPr="005B6E69">
              <w:rPr>
                <w:vertAlign w:val="subscript"/>
              </w:rPr>
              <w:t>2</w:t>
            </w:r>
            <w:r w:rsidRPr="00642952">
              <w:t xml:space="preserve"> baseline</w:t>
            </w:r>
          </w:p>
        </w:tc>
        <w:tc>
          <w:tcPr>
            <w:tcW w:w="1928" w:type="dxa"/>
            <w:noWrap/>
            <w:hideMark/>
          </w:tcPr>
          <w:p w14:paraId="6564EEEA"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c>
          <w:tcPr>
            <w:tcW w:w="1928" w:type="dxa"/>
            <w:noWrap/>
            <w:hideMark/>
          </w:tcPr>
          <w:p w14:paraId="6C2E6F3B"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c>
          <w:tcPr>
            <w:tcW w:w="1928" w:type="dxa"/>
            <w:noWrap/>
            <w:hideMark/>
          </w:tcPr>
          <w:p w14:paraId="4C6E1DAC"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0.42</w:t>
            </w:r>
          </w:p>
        </w:tc>
      </w:tr>
      <w:tr w:rsidR="008128C6" w:rsidRPr="00642952" w14:paraId="13AF4D42" w14:textId="77777777" w:rsidTr="000F6BC1">
        <w:trPr>
          <w:trHeight w:val="364"/>
        </w:trPr>
        <w:tc>
          <w:tcPr>
            <w:cnfStyle w:val="001000000000" w:firstRow="0" w:lastRow="0" w:firstColumn="1" w:lastColumn="0" w:oddVBand="0" w:evenVBand="0" w:oddHBand="0" w:evenHBand="0" w:firstRowFirstColumn="0" w:firstRowLastColumn="0" w:lastRowFirstColumn="0" w:lastRowLastColumn="0"/>
            <w:tcW w:w="4165" w:type="dxa"/>
            <w:noWrap/>
            <w:hideMark/>
          </w:tcPr>
          <w:p w14:paraId="26DB8E83" w14:textId="77777777" w:rsidR="008128C6" w:rsidRPr="00642952" w:rsidRDefault="008128C6" w:rsidP="00E732ED">
            <w:pPr>
              <w:pStyle w:val="Table-Body-leftaligned"/>
            </w:pPr>
            <w:r w:rsidRPr="00642952">
              <w:t>Argon with added capacity</w:t>
            </w:r>
          </w:p>
        </w:tc>
        <w:tc>
          <w:tcPr>
            <w:tcW w:w="1928" w:type="dxa"/>
            <w:noWrap/>
            <w:hideMark/>
          </w:tcPr>
          <w:p w14:paraId="4FF7097C" w14:textId="77777777"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1.21</w:t>
            </w:r>
          </w:p>
        </w:tc>
        <w:tc>
          <w:tcPr>
            <w:tcW w:w="1928" w:type="dxa"/>
            <w:noWrap/>
            <w:hideMark/>
          </w:tcPr>
          <w:p w14:paraId="5333C857" w14:textId="5D01C638"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1.00</w:t>
            </w:r>
          </w:p>
        </w:tc>
        <w:tc>
          <w:tcPr>
            <w:tcW w:w="1928" w:type="dxa"/>
            <w:noWrap/>
            <w:hideMark/>
          </w:tcPr>
          <w:p w14:paraId="049999D6" w14:textId="77777777"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1.64</w:t>
            </w:r>
          </w:p>
        </w:tc>
      </w:tr>
      <w:tr w:rsidR="008128C6" w:rsidRPr="00642952" w14:paraId="79E8642E" w14:textId="77777777" w:rsidTr="000F6BC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165" w:type="dxa"/>
            <w:noWrap/>
            <w:hideMark/>
          </w:tcPr>
          <w:p w14:paraId="47339E64" w14:textId="77777777" w:rsidR="008128C6" w:rsidRPr="00642952" w:rsidRDefault="008128C6" w:rsidP="00E732ED">
            <w:pPr>
              <w:pStyle w:val="Table-Body-leftaligned"/>
            </w:pPr>
            <w:r w:rsidRPr="00642952">
              <w:t>Argon with no added capacity</w:t>
            </w:r>
          </w:p>
        </w:tc>
        <w:tc>
          <w:tcPr>
            <w:tcW w:w="1928" w:type="dxa"/>
            <w:noWrap/>
            <w:hideMark/>
          </w:tcPr>
          <w:p w14:paraId="22502BC3"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1.25</w:t>
            </w:r>
          </w:p>
        </w:tc>
        <w:tc>
          <w:tcPr>
            <w:tcW w:w="1928" w:type="dxa"/>
            <w:noWrap/>
            <w:hideMark/>
          </w:tcPr>
          <w:p w14:paraId="78AB8B9D"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1.04</w:t>
            </w:r>
          </w:p>
        </w:tc>
        <w:tc>
          <w:tcPr>
            <w:tcW w:w="1928" w:type="dxa"/>
            <w:noWrap/>
            <w:hideMark/>
          </w:tcPr>
          <w:p w14:paraId="6817F394" w14:textId="77777777" w:rsidR="008128C6" w:rsidRPr="00642952" w:rsidRDefault="008128C6" w:rsidP="00E732ED">
            <w:pPr>
              <w:pStyle w:val="Table-Body-leftaligned"/>
              <w:jc w:val="center"/>
              <w:cnfStyle w:val="000000100000" w:firstRow="0" w:lastRow="0" w:firstColumn="0" w:lastColumn="0" w:oddVBand="0" w:evenVBand="0" w:oddHBand="1" w:evenHBand="0" w:firstRowFirstColumn="0" w:firstRowLastColumn="0" w:lastRowFirstColumn="0" w:lastRowLastColumn="0"/>
            </w:pPr>
            <w:r w:rsidRPr="00642952">
              <w:t>1.71</w:t>
            </w:r>
          </w:p>
        </w:tc>
      </w:tr>
      <w:tr w:rsidR="008128C6" w:rsidRPr="00642952" w14:paraId="1524740A" w14:textId="77777777" w:rsidTr="000F6BC1">
        <w:trPr>
          <w:trHeight w:val="364"/>
        </w:trPr>
        <w:tc>
          <w:tcPr>
            <w:cnfStyle w:val="001000000000" w:firstRow="0" w:lastRow="0" w:firstColumn="1" w:lastColumn="0" w:oddVBand="0" w:evenVBand="0" w:oddHBand="0" w:evenHBand="0" w:firstRowFirstColumn="0" w:firstRowLastColumn="0" w:lastRowFirstColumn="0" w:lastRowLastColumn="0"/>
            <w:tcW w:w="4165" w:type="dxa"/>
            <w:noWrap/>
            <w:hideMark/>
          </w:tcPr>
          <w:p w14:paraId="63583CBC" w14:textId="77777777" w:rsidR="008128C6" w:rsidRPr="00642952" w:rsidRDefault="008128C6" w:rsidP="00E732ED">
            <w:pPr>
              <w:pStyle w:val="Table-Body-leftaligned"/>
            </w:pPr>
            <w:r w:rsidRPr="00642952">
              <w:t>Electrical stunning</w:t>
            </w:r>
          </w:p>
        </w:tc>
        <w:tc>
          <w:tcPr>
            <w:tcW w:w="1928" w:type="dxa"/>
            <w:noWrap/>
            <w:hideMark/>
          </w:tcPr>
          <w:p w14:paraId="4B1ED43C" w14:textId="77777777"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0.61</w:t>
            </w:r>
          </w:p>
        </w:tc>
        <w:tc>
          <w:tcPr>
            <w:tcW w:w="1928" w:type="dxa"/>
            <w:noWrap/>
            <w:hideMark/>
          </w:tcPr>
          <w:p w14:paraId="78C0D6C3" w14:textId="77777777"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0.54</w:t>
            </w:r>
          </w:p>
        </w:tc>
        <w:tc>
          <w:tcPr>
            <w:tcW w:w="1928" w:type="dxa"/>
            <w:noWrap/>
            <w:hideMark/>
          </w:tcPr>
          <w:p w14:paraId="18FBF64C" w14:textId="77777777" w:rsidR="008128C6" w:rsidRPr="00642952" w:rsidRDefault="008128C6" w:rsidP="00E732ED">
            <w:pPr>
              <w:pStyle w:val="Table-Body-leftaligned"/>
              <w:jc w:val="center"/>
              <w:cnfStyle w:val="000000000000" w:firstRow="0" w:lastRow="0" w:firstColumn="0" w:lastColumn="0" w:oddVBand="0" w:evenVBand="0" w:oddHBand="0" w:evenHBand="0" w:firstRowFirstColumn="0" w:firstRowLastColumn="0" w:lastRowFirstColumn="0" w:lastRowLastColumn="0"/>
            </w:pPr>
            <w:r w:rsidRPr="00642952">
              <w:t>0.79</w:t>
            </w:r>
          </w:p>
        </w:tc>
      </w:tr>
    </w:tbl>
    <w:p w14:paraId="72EE1954" w14:textId="77777777" w:rsidR="001214F6" w:rsidRPr="00642952" w:rsidRDefault="001214F6" w:rsidP="00800F24"/>
    <w:p w14:paraId="5882260C" w14:textId="77777777" w:rsidR="002A3365" w:rsidRDefault="00453967" w:rsidP="00453967">
      <w:r w:rsidRPr="00642952">
        <w:t>The results show that, even when capital costs are excluded, all alternatives still have higher day-to-day operating costs than the CO</w:t>
      </w:r>
      <w:r w:rsidRPr="00642952">
        <w:rPr>
          <w:rFonts w:ascii="Cambria Math" w:hAnsi="Cambria Math" w:cs="Cambria Math"/>
        </w:rPr>
        <w:t>₂</w:t>
      </w:r>
      <w:r w:rsidRPr="00642952">
        <w:t xml:space="preserve"> baseline.</w:t>
      </w:r>
    </w:p>
    <w:p w14:paraId="20129954" w14:textId="0FDFCBA5" w:rsidR="00DD62A0" w:rsidRDefault="00453967" w:rsidP="00453967">
      <w:r w:rsidRPr="00642952">
        <w:lastRenderedPageBreak/>
        <w:t>Under central assumptions, both argon options have operating costs at around three times those of CO</w:t>
      </w:r>
      <w:r w:rsidRPr="00642952">
        <w:rPr>
          <w:rFonts w:ascii="Cambria Math" w:hAnsi="Cambria Math" w:cs="Cambria Math"/>
        </w:rPr>
        <w:t>₂</w:t>
      </w:r>
      <w:r w:rsidRPr="00642952">
        <w:t xml:space="preserve">, with the </w:t>
      </w:r>
      <w:r w:rsidR="00F579ED" w:rsidRPr="00642952">
        <w:t>‘</w:t>
      </w:r>
      <w:r w:rsidRPr="00642952">
        <w:t>no added capacity</w:t>
      </w:r>
      <w:r w:rsidR="00F579ED" w:rsidRPr="00642952">
        <w:t>’</w:t>
      </w:r>
      <w:r w:rsidRPr="00642952">
        <w:t xml:space="preserve"> configuration slightly more expensive than </w:t>
      </w:r>
      <w:r w:rsidR="00F579ED" w:rsidRPr="00642952">
        <w:t>‘</w:t>
      </w:r>
      <w:r w:rsidRPr="00642952">
        <w:t>argon with added capacity</w:t>
      </w:r>
      <w:r w:rsidR="003938E8" w:rsidRPr="00642952">
        <w:t>’</w:t>
      </w:r>
      <w:r w:rsidRPr="00642952">
        <w:t xml:space="preserve"> because extended operating hours and overtime increase costs.</w:t>
      </w:r>
    </w:p>
    <w:p w14:paraId="64879F42" w14:textId="17942ED1" w:rsidR="002A3365" w:rsidRPr="00642952" w:rsidRDefault="00453967" w:rsidP="00453967">
      <w:r w:rsidRPr="00642952">
        <w:t>Electrical stunning has the lowest operating cost of the alternative options, at around 50</w:t>
      </w:r>
      <w:r w:rsidR="003938E8" w:rsidRPr="00642952">
        <w:t>%</w:t>
      </w:r>
      <w:r w:rsidRPr="00642952">
        <w:t xml:space="preserve"> above the CO</w:t>
      </w:r>
      <w:r w:rsidRPr="00642952">
        <w:rPr>
          <w:rFonts w:ascii="Cambria Math" w:hAnsi="Cambria Math" w:cs="Cambria Math"/>
        </w:rPr>
        <w:t>₂</w:t>
      </w:r>
      <w:r w:rsidRPr="00642952">
        <w:t xml:space="preserve"> baseline per pig, but</w:t>
      </w:r>
      <w:r w:rsidR="003938E8" w:rsidRPr="00642952">
        <w:t xml:space="preserve"> it</w:t>
      </w:r>
      <w:r w:rsidRPr="00642952">
        <w:t xml:space="preserve"> remains materially more expensive than current practice.</w:t>
      </w:r>
    </w:p>
    <w:p w14:paraId="11E7DDAA" w14:textId="77777777" w:rsidR="00857C6E" w:rsidRPr="00642952" w:rsidRDefault="00857C6E" w:rsidP="00E732ED">
      <w:pPr>
        <w:pStyle w:val="Heading4"/>
      </w:pPr>
      <w:r w:rsidRPr="00642952">
        <w:t>Breakdown of cost estimates</w:t>
      </w:r>
    </w:p>
    <w:p w14:paraId="072F6B99" w14:textId="4198A863" w:rsidR="00857C6E" w:rsidRDefault="002A3365" w:rsidP="00857C6E">
      <w:r>
        <w:t>F</w:t>
      </w:r>
      <w:r w:rsidR="00857C6E" w:rsidRPr="00642952">
        <w:t xml:space="preserve">igure </w:t>
      </w:r>
      <w:r>
        <w:t>4.1</w:t>
      </w:r>
      <w:r w:rsidRPr="00642952">
        <w:t xml:space="preserve"> </w:t>
      </w:r>
      <w:r w:rsidR="00857C6E" w:rsidRPr="00642952">
        <w:t>shows the breakdown of the estimated annual costs for each option.</w:t>
      </w:r>
    </w:p>
    <w:p w14:paraId="27FC5A69" w14:textId="218A8655" w:rsidR="0044676F" w:rsidRPr="00642952" w:rsidRDefault="0044676F" w:rsidP="0044676F">
      <w:pPr>
        <w:rPr>
          <w:b/>
          <w:bCs/>
        </w:rPr>
      </w:pPr>
      <w:bookmarkStart w:id="29" w:name="_Ref211803548"/>
      <w:r w:rsidRPr="00642952">
        <w:rPr>
          <w:b/>
          <w:bCs/>
        </w:rPr>
        <w:t xml:space="preserve">Figure </w:t>
      </w:r>
      <w:r w:rsidRPr="00642952">
        <w:rPr>
          <w:b/>
          <w:bCs/>
        </w:rPr>
        <w:fldChar w:fldCharType="begin"/>
      </w:r>
      <w:r w:rsidRPr="00642952">
        <w:rPr>
          <w:b/>
          <w:bCs/>
        </w:rPr>
        <w:instrText>STYLEREF 1 \s</w:instrText>
      </w:r>
      <w:r w:rsidRPr="00642952">
        <w:rPr>
          <w:b/>
          <w:bCs/>
        </w:rPr>
        <w:fldChar w:fldCharType="separate"/>
      </w:r>
      <w:r w:rsidRPr="00642952">
        <w:rPr>
          <w:b/>
          <w:bCs/>
        </w:rPr>
        <w:t>4</w:t>
      </w:r>
      <w:r w:rsidRPr="00642952">
        <w:fldChar w:fldCharType="end"/>
      </w:r>
      <w:r w:rsidRPr="00642952">
        <w:rPr>
          <w:b/>
          <w:bCs/>
        </w:rPr>
        <w:t>.</w:t>
      </w:r>
      <w:r w:rsidRPr="00642952">
        <w:rPr>
          <w:b/>
          <w:bCs/>
        </w:rPr>
        <w:fldChar w:fldCharType="begin"/>
      </w:r>
      <w:r w:rsidRPr="00642952">
        <w:rPr>
          <w:b/>
          <w:bCs/>
        </w:rPr>
        <w:instrText>SEQ Figure \* ARABIC \s 1</w:instrText>
      </w:r>
      <w:r w:rsidRPr="00642952">
        <w:rPr>
          <w:b/>
          <w:bCs/>
        </w:rPr>
        <w:fldChar w:fldCharType="separate"/>
      </w:r>
      <w:r w:rsidRPr="00642952">
        <w:rPr>
          <w:b/>
          <w:bCs/>
        </w:rPr>
        <w:t>1</w:t>
      </w:r>
      <w:r w:rsidRPr="00642952">
        <w:fldChar w:fldCharType="end"/>
      </w:r>
      <w:bookmarkEnd w:id="29"/>
      <w:r w:rsidRPr="00642952">
        <w:rPr>
          <w:b/>
          <w:bCs/>
        </w:rPr>
        <w:t>: Cost breakdown by option</w:t>
      </w:r>
      <w:r w:rsidR="00AE733D">
        <w:rPr>
          <w:b/>
          <w:bCs/>
        </w:rPr>
        <w:t xml:space="preserve"> (£)</w:t>
      </w:r>
    </w:p>
    <w:p w14:paraId="6697495C" w14:textId="61819834" w:rsidR="00453967" w:rsidRPr="00642952" w:rsidRDefault="005A050E" w:rsidP="00800F24">
      <w:r w:rsidRPr="00642952">
        <w:rPr>
          <w:noProof/>
        </w:rPr>
        <w:drawing>
          <wp:inline distT="0" distB="0" distL="0" distR="0" wp14:anchorId="43B8F65B" wp14:editId="5A6B45D3">
            <wp:extent cx="5341544" cy="3541025"/>
            <wp:effectExtent l="0" t="0" r="0" b="2540"/>
            <wp:docPr id="522079395" name="Picture 1" descr="Bar chart comparing cost components across four scenarios: Baseline, argon with added capacity, argon with no added capacity, and electrical. Each stacked bar displays gas, electricity, water, maintenance, labour, and capex costs, highlighting higher total costs for Argon with added capacity and Electrical scenarios, with gas costs dominating Argon options and capex costs significant in Electr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79395" name="Picture 1" descr="Bar chart comparing cost components across four scenarios: Baseline, argon with added capacity, argon with no added capacity, and electrical. Each stacked bar displays gas, electricity, water, maintenance, labour, and capex costs, highlighting higher total costs for Argon with added capacity and Electrical scenarios, with gas costs dominating Argon options and capex costs significant in Electric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7781" cy="3558418"/>
                    </a:xfrm>
                    <a:prstGeom prst="rect">
                      <a:avLst/>
                    </a:prstGeom>
                    <a:noFill/>
                  </pic:spPr>
                </pic:pic>
              </a:graphicData>
            </a:graphic>
          </wp:inline>
        </w:drawing>
      </w:r>
    </w:p>
    <w:p w14:paraId="54CD2A18" w14:textId="77777777" w:rsidR="002A3365" w:rsidRDefault="00877FEB" w:rsidP="00877FEB">
      <w:r w:rsidRPr="00642952">
        <w:t>Relative to the CO</w:t>
      </w:r>
      <w:r w:rsidRPr="00642952">
        <w:rPr>
          <w:rFonts w:ascii="Cambria Math" w:hAnsi="Cambria Math" w:cs="Cambria Math"/>
        </w:rPr>
        <w:t>₂</w:t>
      </w:r>
      <w:r w:rsidRPr="00642952">
        <w:t xml:space="preserve"> baseline, the argon scenarios are dominated by two effects: the purchase of argon itself and higher labour.</w:t>
      </w:r>
    </w:p>
    <w:p w14:paraId="1A15A845" w14:textId="1880B82E" w:rsidR="00DB0FD8" w:rsidRDefault="00877FEB" w:rsidP="00877FEB">
      <w:r w:rsidRPr="00642952">
        <w:t>Gas costs rise from about £97,000 under CO</w:t>
      </w:r>
      <w:r w:rsidRPr="00642952">
        <w:rPr>
          <w:rFonts w:ascii="Cambria Math" w:hAnsi="Cambria Math" w:cs="Cambria Math"/>
        </w:rPr>
        <w:t>₂</w:t>
      </w:r>
      <w:r w:rsidRPr="00642952">
        <w:t xml:space="preserve"> to roughly £687,000 under argon (both argon scenarios), reflecting the higher unit price (</w:t>
      </w:r>
      <w:r w:rsidR="00F60E40" w:rsidRPr="00642952">
        <w:t>five</w:t>
      </w:r>
      <w:r w:rsidRPr="00642952">
        <w:t xml:space="preserve"> times higher than CO</w:t>
      </w:r>
      <w:r w:rsidRPr="00DE66FC">
        <w:rPr>
          <w:vertAlign w:val="subscript"/>
        </w:rPr>
        <w:t>2</w:t>
      </w:r>
      <w:r w:rsidRPr="00642952">
        <w:t xml:space="preserve"> in the central scenario) and per pig consumption. </w:t>
      </w:r>
    </w:p>
    <w:p w14:paraId="57AFB896" w14:textId="3D4274B9" w:rsidR="00DB0FD8" w:rsidRDefault="00877FEB" w:rsidP="00877FEB">
      <w:r w:rsidRPr="00642952">
        <w:t xml:space="preserve">Labour also increases materially: from just over £300,000 in the baseline to just over £600,000 in </w:t>
      </w:r>
      <w:r w:rsidR="00F60E40" w:rsidRPr="00642952">
        <w:t>a</w:t>
      </w:r>
      <w:r w:rsidRPr="00642952">
        <w:t xml:space="preserve">rgon with added capacity and over £650,000 in </w:t>
      </w:r>
      <w:r w:rsidR="00F60E40" w:rsidRPr="00642952">
        <w:t>a</w:t>
      </w:r>
      <w:r w:rsidRPr="00642952">
        <w:t xml:space="preserve">rgon with no added capacity, driven by staffing needs for an additional line in </w:t>
      </w:r>
      <w:r w:rsidR="00F60E40" w:rsidRPr="00642952">
        <w:t>a</w:t>
      </w:r>
      <w:r w:rsidRPr="00642952">
        <w:t xml:space="preserve">rgon with added capacity, and by the extended hours to maintain weekly kill in </w:t>
      </w:r>
      <w:r w:rsidR="00F60E40" w:rsidRPr="00642952">
        <w:rPr>
          <w:bCs/>
        </w:rPr>
        <w:t>a</w:t>
      </w:r>
      <w:r w:rsidRPr="00642952">
        <w:rPr>
          <w:bCs/>
        </w:rPr>
        <w:t>rgon with no added capacity</w:t>
      </w:r>
      <w:r w:rsidRPr="00642952">
        <w:t>.</w:t>
      </w:r>
    </w:p>
    <w:p w14:paraId="76095391" w14:textId="718633EB" w:rsidR="00877FEB" w:rsidRPr="00642952" w:rsidRDefault="00877FEB" w:rsidP="00877FEB">
      <w:r w:rsidRPr="00642952">
        <w:t xml:space="preserve">Annuitised capital costs are another significant driver, adding £331,000 for </w:t>
      </w:r>
      <w:r w:rsidR="00391804" w:rsidRPr="00642952">
        <w:rPr>
          <w:bCs/>
        </w:rPr>
        <w:t>a</w:t>
      </w:r>
      <w:r w:rsidRPr="00642952">
        <w:rPr>
          <w:bCs/>
        </w:rPr>
        <w:t xml:space="preserve">rgon with added capacity </w:t>
      </w:r>
      <w:r w:rsidRPr="00642952">
        <w:t xml:space="preserve">and £127,000 for </w:t>
      </w:r>
      <w:r w:rsidR="00391804" w:rsidRPr="00642952">
        <w:rPr>
          <w:bCs/>
        </w:rPr>
        <w:t>a</w:t>
      </w:r>
      <w:r w:rsidRPr="00642952">
        <w:rPr>
          <w:bCs/>
        </w:rPr>
        <w:t>rgon with no added capacity</w:t>
      </w:r>
      <w:r w:rsidRPr="00642952">
        <w:t xml:space="preserve">. Taken together, these effects lift operating expenditure to roughly three times the baseline, with the </w:t>
      </w:r>
      <w:r w:rsidR="00391804" w:rsidRPr="00642952">
        <w:rPr>
          <w:bCs/>
        </w:rPr>
        <w:t>a</w:t>
      </w:r>
      <w:r w:rsidRPr="00642952">
        <w:rPr>
          <w:bCs/>
        </w:rPr>
        <w:t xml:space="preserve">rgon with no added capacity scenario’s </w:t>
      </w:r>
      <w:r w:rsidRPr="00642952">
        <w:t>higher labour offset partly by its lower capital annuity.</w:t>
      </w:r>
    </w:p>
    <w:p w14:paraId="3B0B0906" w14:textId="77777777" w:rsidR="00CD7242" w:rsidRDefault="00877FEB" w:rsidP="00877FEB">
      <w:r w:rsidRPr="00642952">
        <w:lastRenderedPageBreak/>
        <w:t>Electrical conversion has a different profile. There is no gas purchase, which keeps operating costs well below the argon cases despite a higher electricity bill (about £14,000 per annum) and an increase in maintenance (to £88,000).</w:t>
      </w:r>
    </w:p>
    <w:p w14:paraId="5ED7DE6E" w14:textId="1AB55F05" w:rsidR="00877FEB" w:rsidRPr="00642952" w:rsidRDefault="00877FEB" w:rsidP="00877FEB">
      <w:r w:rsidRPr="00642952">
        <w:t>Labour roughly doubles to £608,000 to support the parallel stunners and associated handling changes. The principal additional cost is capital: the capex annuity is about £585,000 in the central case, reflecting the larger upfront investment due to the need to remove the existing CO</w:t>
      </w:r>
      <w:r w:rsidRPr="00642952">
        <w:rPr>
          <w:vertAlign w:val="subscript"/>
        </w:rPr>
        <w:t xml:space="preserve">2 </w:t>
      </w:r>
      <w:r w:rsidRPr="00642952">
        <w:t xml:space="preserve">stunner in addition to installing new stunners and significant layout modifications. </w:t>
      </w:r>
    </w:p>
    <w:p w14:paraId="1A7D0C70" w14:textId="63BF62A3" w:rsidR="00877FEB" w:rsidRDefault="009A6126" w:rsidP="00877FEB">
      <w:r>
        <w:t>T</w:t>
      </w:r>
      <w:r w:rsidR="00877FEB" w:rsidRPr="00642952">
        <w:t xml:space="preserve">able </w:t>
      </w:r>
      <w:r>
        <w:t>4.5</w:t>
      </w:r>
      <w:r w:rsidRPr="00642952">
        <w:t xml:space="preserve"> </w:t>
      </w:r>
      <w:r w:rsidR="00877FEB" w:rsidRPr="00642952">
        <w:t xml:space="preserve">presents the breakdown of costs shown in </w:t>
      </w:r>
      <w:r w:rsidR="00877FEB" w:rsidRPr="00642952">
        <w:rPr>
          <w:b/>
          <w:bCs/>
        </w:rPr>
        <w:fldChar w:fldCharType="begin"/>
      </w:r>
      <w:r w:rsidR="00877FEB" w:rsidRPr="00642952">
        <w:rPr>
          <w:b/>
          <w:bCs/>
        </w:rPr>
        <w:instrText xml:space="preserve"> REF _Ref211803548 \h </w:instrText>
      </w:r>
      <w:r w:rsidR="009D5650" w:rsidRPr="00642952">
        <w:rPr>
          <w:b/>
          <w:bCs/>
        </w:rPr>
        <w:instrText xml:space="preserve"> \* MERGEFORMAT </w:instrText>
      </w:r>
      <w:r w:rsidR="00877FEB" w:rsidRPr="00642952">
        <w:rPr>
          <w:b/>
          <w:bCs/>
        </w:rPr>
      </w:r>
      <w:r w:rsidR="00877FEB" w:rsidRPr="00642952">
        <w:rPr>
          <w:b/>
          <w:bCs/>
        </w:rPr>
        <w:fldChar w:fldCharType="separate"/>
      </w:r>
      <w:r w:rsidR="00877FEB" w:rsidRPr="00642952">
        <w:rPr>
          <w:b/>
          <w:bCs/>
        </w:rPr>
        <w:t>Figure 4.1</w:t>
      </w:r>
      <w:r w:rsidR="00877FEB" w:rsidRPr="00642952">
        <w:rPr>
          <w:b/>
          <w:bCs/>
        </w:rPr>
        <w:fldChar w:fldCharType="end"/>
      </w:r>
      <w:r w:rsidR="00877FEB" w:rsidRPr="00DE66FC">
        <w:t>.</w:t>
      </w:r>
      <w:r w:rsidR="00877FEB" w:rsidRPr="00642952">
        <w:t xml:space="preserve"> </w:t>
      </w:r>
    </w:p>
    <w:p w14:paraId="7E079923" w14:textId="77777777" w:rsidR="009A6126" w:rsidRPr="00642952" w:rsidRDefault="009A6126" w:rsidP="00877FEB"/>
    <w:p w14:paraId="3C4E03F2" w14:textId="77777777" w:rsidR="00214B5C" w:rsidRPr="00642952" w:rsidRDefault="00214B5C" w:rsidP="00214B5C">
      <w:pPr>
        <w:rPr>
          <w:b/>
          <w:bCs/>
        </w:rPr>
      </w:pPr>
      <w:r w:rsidRPr="00642952">
        <w:rPr>
          <w:b/>
          <w:bCs/>
        </w:rPr>
        <w:t xml:space="preserve">Table </w:t>
      </w:r>
      <w:r w:rsidRPr="00642952">
        <w:rPr>
          <w:b/>
          <w:bCs/>
        </w:rPr>
        <w:fldChar w:fldCharType="begin"/>
      </w:r>
      <w:r w:rsidRPr="00642952">
        <w:rPr>
          <w:b/>
          <w:bCs/>
        </w:rPr>
        <w:instrText>STYLEREF 1 \s</w:instrText>
      </w:r>
      <w:r w:rsidRPr="00642952">
        <w:rPr>
          <w:b/>
          <w:bCs/>
        </w:rPr>
        <w:fldChar w:fldCharType="separate"/>
      </w:r>
      <w:r w:rsidRPr="00642952">
        <w:rPr>
          <w:b/>
          <w:bCs/>
        </w:rPr>
        <w:t>4</w:t>
      </w:r>
      <w:r w:rsidRPr="00642952">
        <w:fldChar w:fldCharType="end"/>
      </w:r>
      <w:r w:rsidRPr="00642952">
        <w:rPr>
          <w:b/>
          <w:bCs/>
        </w:rPr>
        <w:t>.</w:t>
      </w:r>
      <w:r w:rsidRPr="00642952">
        <w:rPr>
          <w:b/>
          <w:bCs/>
        </w:rPr>
        <w:fldChar w:fldCharType="begin"/>
      </w:r>
      <w:r w:rsidRPr="00642952">
        <w:rPr>
          <w:b/>
          <w:bCs/>
        </w:rPr>
        <w:instrText>SEQ Table \* ARABIC \s 1</w:instrText>
      </w:r>
      <w:r w:rsidRPr="00642952">
        <w:rPr>
          <w:b/>
          <w:bCs/>
        </w:rPr>
        <w:fldChar w:fldCharType="separate"/>
      </w:r>
      <w:r w:rsidRPr="00642952">
        <w:rPr>
          <w:b/>
          <w:bCs/>
        </w:rPr>
        <w:t>5</w:t>
      </w:r>
      <w:r w:rsidRPr="00642952">
        <w:fldChar w:fldCharType="end"/>
      </w:r>
      <w:r w:rsidRPr="00642952">
        <w:rPr>
          <w:b/>
          <w:bCs/>
        </w:rPr>
        <w:t>: Breakdown of costs for central scenario (£/year)</w:t>
      </w:r>
    </w:p>
    <w:tbl>
      <w:tblPr>
        <w:tblStyle w:val="ListTable2-Accent1"/>
        <w:tblW w:w="9800" w:type="dxa"/>
        <w:tblLook w:val="04E0" w:firstRow="1" w:lastRow="1" w:firstColumn="1" w:lastColumn="0" w:noHBand="0" w:noVBand="1"/>
      </w:tblPr>
      <w:tblGrid>
        <w:gridCol w:w="1960"/>
        <w:gridCol w:w="1960"/>
        <w:gridCol w:w="1960"/>
        <w:gridCol w:w="1960"/>
        <w:gridCol w:w="1960"/>
      </w:tblGrid>
      <w:tr w:rsidR="00332A71" w:rsidRPr="00642952" w14:paraId="5D5B040F" w14:textId="77777777" w:rsidTr="00286B6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9B4E4D1" w14:textId="77777777" w:rsidR="00332A71" w:rsidRPr="00642952" w:rsidRDefault="00332A71" w:rsidP="00AE733D">
            <w:pPr>
              <w:pStyle w:val="Table-Body-centred"/>
            </w:pPr>
            <w:r w:rsidRPr="00642952">
              <w:t> </w:t>
            </w:r>
          </w:p>
        </w:tc>
        <w:tc>
          <w:tcPr>
            <w:tcW w:w="1960" w:type="dxa"/>
            <w:noWrap/>
            <w:hideMark/>
          </w:tcPr>
          <w:p w14:paraId="5BBB0C94" w14:textId="77777777" w:rsidR="00332A71" w:rsidRPr="00642952" w:rsidRDefault="00332A71" w:rsidP="00AE733D">
            <w:pPr>
              <w:pStyle w:val="Table-Body-centred"/>
              <w:cnfStyle w:val="100000000000" w:firstRow="1" w:lastRow="0" w:firstColumn="0" w:lastColumn="0" w:oddVBand="0" w:evenVBand="0" w:oddHBand="0" w:evenHBand="0" w:firstRowFirstColumn="0" w:firstRowLastColumn="0" w:lastRowFirstColumn="0" w:lastRowLastColumn="0"/>
            </w:pPr>
            <w:r w:rsidRPr="00642952">
              <w:t>Baseline</w:t>
            </w:r>
          </w:p>
        </w:tc>
        <w:tc>
          <w:tcPr>
            <w:tcW w:w="1960" w:type="dxa"/>
            <w:noWrap/>
            <w:hideMark/>
          </w:tcPr>
          <w:p w14:paraId="31DE74C4" w14:textId="77777777" w:rsidR="00332A71" w:rsidRPr="00642952" w:rsidRDefault="00332A71" w:rsidP="00AE733D">
            <w:pPr>
              <w:pStyle w:val="Table-Body-centred"/>
              <w:cnfStyle w:val="100000000000" w:firstRow="1" w:lastRow="0" w:firstColumn="0" w:lastColumn="0" w:oddVBand="0" w:evenVBand="0" w:oddHBand="0" w:evenHBand="0" w:firstRowFirstColumn="0" w:firstRowLastColumn="0" w:lastRowFirstColumn="0" w:lastRowLastColumn="0"/>
            </w:pPr>
            <w:r w:rsidRPr="00642952">
              <w:t>Argon with added capacity</w:t>
            </w:r>
          </w:p>
        </w:tc>
        <w:tc>
          <w:tcPr>
            <w:tcW w:w="1960" w:type="dxa"/>
            <w:noWrap/>
            <w:hideMark/>
          </w:tcPr>
          <w:p w14:paraId="3E32455E" w14:textId="77777777" w:rsidR="00332A71" w:rsidRPr="00642952" w:rsidRDefault="00332A71" w:rsidP="00AE733D">
            <w:pPr>
              <w:pStyle w:val="Table-Body-centred"/>
              <w:cnfStyle w:val="100000000000" w:firstRow="1" w:lastRow="0" w:firstColumn="0" w:lastColumn="0" w:oddVBand="0" w:evenVBand="0" w:oddHBand="0" w:evenHBand="0" w:firstRowFirstColumn="0" w:firstRowLastColumn="0" w:lastRowFirstColumn="0" w:lastRowLastColumn="0"/>
            </w:pPr>
            <w:r w:rsidRPr="00642952">
              <w:t>Argon with no added capacity</w:t>
            </w:r>
          </w:p>
        </w:tc>
        <w:tc>
          <w:tcPr>
            <w:tcW w:w="1960" w:type="dxa"/>
            <w:noWrap/>
            <w:hideMark/>
          </w:tcPr>
          <w:p w14:paraId="299BE989" w14:textId="48FBD96D" w:rsidR="00332A71" w:rsidRPr="00642952" w:rsidRDefault="00332A71" w:rsidP="00AE733D">
            <w:pPr>
              <w:pStyle w:val="Table-Body-centred"/>
              <w:cnfStyle w:val="100000000000" w:firstRow="1" w:lastRow="0" w:firstColumn="0" w:lastColumn="0" w:oddVBand="0" w:evenVBand="0" w:oddHBand="0" w:evenHBand="0" w:firstRowFirstColumn="0" w:firstRowLastColumn="0" w:lastRowFirstColumn="0" w:lastRowLastColumn="0"/>
            </w:pPr>
            <w:r w:rsidRPr="00642952">
              <w:t>Electrical</w:t>
            </w:r>
          </w:p>
        </w:tc>
      </w:tr>
      <w:tr w:rsidR="00332A71" w:rsidRPr="00642952" w14:paraId="255FE83B" w14:textId="77777777" w:rsidTr="00286B6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7B7A4BF" w14:textId="77777777" w:rsidR="00332A71" w:rsidRPr="00642952" w:rsidRDefault="00332A71" w:rsidP="00AE733D">
            <w:pPr>
              <w:pStyle w:val="Table-Body-centred"/>
              <w:jc w:val="left"/>
            </w:pPr>
            <w:r w:rsidRPr="00642952">
              <w:t>Annual pigs killed</w:t>
            </w:r>
          </w:p>
        </w:tc>
        <w:tc>
          <w:tcPr>
            <w:tcW w:w="1960" w:type="dxa"/>
            <w:noWrap/>
            <w:hideMark/>
          </w:tcPr>
          <w:p w14:paraId="2B37D914" w14:textId="00D1021E"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1,170,000</w:t>
            </w:r>
          </w:p>
        </w:tc>
        <w:tc>
          <w:tcPr>
            <w:tcW w:w="1960" w:type="dxa"/>
            <w:noWrap/>
            <w:hideMark/>
          </w:tcPr>
          <w:p w14:paraId="188F95C1" w14:textId="6D4AF25E"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1,170,000</w:t>
            </w:r>
          </w:p>
        </w:tc>
        <w:tc>
          <w:tcPr>
            <w:tcW w:w="1960" w:type="dxa"/>
            <w:noWrap/>
            <w:hideMark/>
          </w:tcPr>
          <w:p w14:paraId="5770DD83" w14:textId="27CC270B"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1,170,000</w:t>
            </w:r>
          </w:p>
        </w:tc>
        <w:tc>
          <w:tcPr>
            <w:tcW w:w="1960" w:type="dxa"/>
            <w:noWrap/>
            <w:hideMark/>
          </w:tcPr>
          <w:p w14:paraId="1FEEC09C" w14:textId="5E0295DB"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1,170,000</w:t>
            </w:r>
          </w:p>
        </w:tc>
      </w:tr>
      <w:tr w:rsidR="00332A71" w:rsidRPr="00642952" w14:paraId="0B51198F" w14:textId="77777777" w:rsidTr="00286B6E">
        <w:trPr>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B5CE4D1" w14:textId="77777777" w:rsidR="00332A71" w:rsidRPr="00642952" w:rsidRDefault="00332A71" w:rsidP="00AE733D">
            <w:pPr>
              <w:pStyle w:val="Table-Body-centred"/>
              <w:jc w:val="left"/>
            </w:pPr>
            <w:r w:rsidRPr="00642952">
              <w:t>Gas costs</w:t>
            </w:r>
          </w:p>
        </w:tc>
        <w:tc>
          <w:tcPr>
            <w:tcW w:w="1960" w:type="dxa"/>
            <w:noWrap/>
            <w:hideMark/>
          </w:tcPr>
          <w:p w14:paraId="65C30768"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£97,294</w:t>
            </w:r>
          </w:p>
        </w:tc>
        <w:tc>
          <w:tcPr>
            <w:tcW w:w="1960" w:type="dxa"/>
            <w:noWrap/>
            <w:hideMark/>
          </w:tcPr>
          <w:p w14:paraId="060006C3"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£686,594</w:t>
            </w:r>
          </w:p>
        </w:tc>
        <w:tc>
          <w:tcPr>
            <w:tcW w:w="1960" w:type="dxa"/>
            <w:noWrap/>
            <w:hideMark/>
          </w:tcPr>
          <w:p w14:paraId="4A10227C"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£686,594</w:t>
            </w:r>
          </w:p>
        </w:tc>
        <w:tc>
          <w:tcPr>
            <w:tcW w:w="1960" w:type="dxa"/>
            <w:noWrap/>
            <w:hideMark/>
          </w:tcPr>
          <w:p w14:paraId="6807B900" w14:textId="138BD923" w:rsidR="00332A71" w:rsidRPr="00642952" w:rsidRDefault="00AE733D" w:rsidP="00AE733D">
            <w:pPr>
              <w:pStyle w:val="Table-Body-centred"/>
              <w:cnfStyle w:val="000000000000" w:firstRow="0" w:lastRow="0" w:firstColumn="0" w:lastColumn="0" w:oddVBand="0" w:evenVBand="0" w:oddHBand="0" w:evenHBand="0" w:firstRowFirstColumn="0" w:firstRowLastColumn="0" w:lastRowFirstColumn="0" w:lastRowLastColumn="0"/>
            </w:pPr>
            <w:r>
              <w:t>–</w:t>
            </w:r>
          </w:p>
        </w:tc>
      </w:tr>
      <w:tr w:rsidR="00332A71" w:rsidRPr="00642952" w14:paraId="5B5CEB38" w14:textId="77777777" w:rsidTr="00286B6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14E2D49" w14:textId="77777777" w:rsidR="00332A71" w:rsidRPr="00642952" w:rsidRDefault="00332A71" w:rsidP="00AE733D">
            <w:pPr>
              <w:pStyle w:val="Table-Body-centred"/>
              <w:jc w:val="left"/>
            </w:pPr>
            <w:r w:rsidRPr="00642952">
              <w:t>Electricity costs</w:t>
            </w:r>
          </w:p>
        </w:tc>
        <w:tc>
          <w:tcPr>
            <w:tcW w:w="1960" w:type="dxa"/>
            <w:noWrap/>
            <w:hideMark/>
          </w:tcPr>
          <w:p w14:paraId="6F2C150B"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£3,049</w:t>
            </w:r>
          </w:p>
        </w:tc>
        <w:tc>
          <w:tcPr>
            <w:tcW w:w="1960" w:type="dxa"/>
            <w:noWrap/>
            <w:hideMark/>
          </w:tcPr>
          <w:p w14:paraId="09304ACC"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£10,563</w:t>
            </w:r>
          </w:p>
        </w:tc>
        <w:tc>
          <w:tcPr>
            <w:tcW w:w="1960" w:type="dxa"/>
            <w:noWrap/>
            <w:hideMark/>
          </w:tcPr>
          <w:p w14:paraId="1CB23B12"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£10,563</w:t>
            </w:r>
          </w:p>
        </w:tc>
        <w:tc>
          <w:tcPr>
            <w:tcW w:w="1960" w:type="dxa"/>
            <w:noWrap/>
            <w:hideMark/>
          </w:tcPr>
          <w:p w14:paraId="7C90D589"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£14,400</w:t>
            </w:r>
          </w:p>
        </w:tc>
      </w:tr>
      <w:tr w:rsidR="00332A71" w:rsidRPr="00642952" w14:paraId="3F61E01A" w14:textId="77777777" w:rsidTr="00286B6E">
        <w:trPr>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6B8A654" w14:textId="77777777" w:rsidR="00332A71" w:rsidRPr="00642952" w:rsidRDefault="00332A71" w:rsidP="00AE733D">
            <w:pPr>
              <w:pStyle w:val="Table-Body-centred"/>
              <w:jc w:val="left"/>
            </w:pPr>
            <w:r w:rsidRPr="00642952">
              <w:t>Water costs</w:t>
            </w:r>
          </w:p>
        </w:tc>
        <w:tc>
          <w:tcPr>
            <w:tcW w:w="1960" w:type="dxa"/>
            <w:noWrap/>
            <w:hideMark/>
          </w:tcPr>
          <w:p w14:paraId="44D195F8"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£3,913</w:t>
            </w:r>
          </w:p>
        </w:tc>
        <w:tc>
          <w:tcPr>
            <w:tcW w:w="1960" w:type="dxa"/>
            <w:noWrap/>
            <w:hideMark/>
          </w:tcPr>
          <w:p w14:paraId="37732070"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£28,916</w:t>
            </w:r>
          </w:p>
        </w:tc>
        <w:tc>
          <w:tcPr>
            <w:tcW w:w="1960" w:type="dxa"/>
            <w:noWrap/>
            <w:hideMark/>
          </w:tcPr>
          <w:p w14:paraId="56B03E41"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£28,916</w:t>
            </w:r>
          </w:p>
        </w:tc>
        <w:tc>
          <w:tcPr>
            <w:tcW w:w="1960" w:type="dxa"/>
            <w:noWrap/>
            <w:hideMark/>
          </w:tcPr>
          <w:p w14:paraId="42512E16"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£1,379</w:t>
            </w:r>
          </w:p>
        </w:tc>
      </w:tr>
      <w:tr w:rsidR="00332A71" w:rsidRPr="00642952" w14:paraId="384658DA" w14:textId="77777777" w:rsidTr="00286B6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8DF24AE" w14:textId="77777777" w:rsidR="00332A71" w:rsidRPr="00642952" w:rsidRDefault="00332A71" w:rsidP="00AE733D">
            <w:pPr>
              <w:pStyle w:val="Table-Body-centred"/>
              <w:jc w:val="left"/>
            </w:pPr>
            <w:r w:rsidRPr="00642952">
              <w:t>Maintenance costs</w:t>
            </w:r>
          </w:p>
        </w:tc>
        <w:tc>
          <w:tcPr>
            <w:tcW w:w="1960" w:type="dxa"/>
            <w:noWrap/>
            <w:hideMark/>
          </w:tcPr>
          <w:p w14:paraId="138EFBE2"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£80,430</w:t>
            </w:r>
          </w:p>
        </w:tc>
        <w:tc>
          <w:tcPr>
            <w:tcW w:w="1960" w:type="dxa"/>
            <w:noWrap/>
            <w:hideMark/>
          </w:tcPr>
          <w:p w14:paraId="6F61CA51"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£80,430</w:t>
            </w:r>
          </w:p>
        </w:tc>
        <w:tc>
          <w:tcPr>
            <w:tcW w:w="1960" w:type="dxa"/>
            <w:noWrap/>
            <w:hideMark/>
          </w:tcPr>
          <w:p w14:paraId="159B6EA1"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£80,430</w:t>
            </w:r>
          </w:p>
        </w:tc>
        <w:tc>
          <w:tcPr>
            <w:tcW w:w="1960" w:type="dxa"/>
            <w:noWrap/>
            <w:hideMark/>
          </w:tcPr>
          <w:p w14:paraId="06EFCADE"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£88,430</w:t>
            </w:r>
          </w:p>
        </w:tc>
      </w:tr>
      <w:tr w:rsidR="00332A71" w:rsidRPr="00642952" w14:paraId="7BE5BED3" w14:textId="77777777" w:rsidTr="00286B6E">
        <w:trPr>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DCB717E" w14:textId="77777777" w:rsidR="00332A71" w:rsidRPr="00642952" w:rsidRDefault="00332A71" w:rsidP="00AE733D">
            <w:pPr>
              <w:pStyle w:val="Table-Body-centred"/>
              <w:jc w:val="left"/>
            </w:pPr>
            <w:r w:rsidRPr="00642952">
              <w:t>Labour costs</w:t>
            </w:r>
          </w:p>
        </w:tc>
        <w:tc>
          <w:tcPr>
            <w:tcW w:w="1960" w:type="dxa"/>
            <w:noWrap/>
            <w:hideMark/>
          </w:tcPr>
          <w:p w14:paraId="00CDE7DD"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£304,200</w:t>
            </w:r>
          </w:p>
        </w:tc>
        <w:tc>
          <w:tcPr>
            <w:tcW w:w="1960" w:type="dxa"/>
            <w:noWrap/>
            <w:hideMark/>
          </w:tcPr>
          <w:p w14:paraId="7644AAC6"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£608,400</w:t>
            </w:r>
          </w:p>
        </w:tc>
        <w:tc>
          <w:tcPr>
            <w:tcW w:w="1960" w:type="dxa"/>
            <w:noWrap/>
            <w:hideMark/>
          </w:tcPr>
          <w:p w14:paraId="4358758D"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£659,100</w:t>
            </w:r>
          </w:p>
        </w:tc>
        <w:tc>
          <w:tcPr>
            <w:tcW w:w="1960" w:type="dxa"/>
            <w:noWrap/>
            <w:hideMark/>
          </w:tcPr>
          <w:p w14:paraId="33A27EC3"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£608,400</w:t>
            </w:r>
          </w:p>
        </w:tc>
      </w:tr>
      <w:tr w:rsidR="00332A71" w:rsidRPr="00642952" w14:paraId="67627378" w14:textId="77777777" w:rsidTr="00286B6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7D6A980" w14:textId="77777777" w:rsidR="00332A71" w:rsidRPr="00642952" w:rsidRDefault="00332A71" w:rsidP="00AE733D">
            <w:pPr>
              <w:pStyle w:val="Table-Body-centred"/>
              <w:jc w:val="left"/>
            </w:pPr>
            <w:proofErr w:type="spellStart"/>
            <w:r w:rsidRPr="00642952">
              <w:t>Opex</w:t>
            </w:r>
            <w:proofErr w:type="spellEnd"/>
            <w:r w:rsidRPr="00642952">
              <w:t xml:space="preserve"> total</w:t>
            </w:r>
          </w:p>
        </w:tc>
        <w:tc>
          <w:tcPr>
            <w:tcW w:w="1960" w:type="dxa"/>
            <w:noWrap/>
            <w:hideMark/>
          </w:tcPr>
          <w:p w14:paraId="41316F4A"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£488,886</w:t>
            </w:r>
          </w:p>
        </w:tc>
        <w:tc>
          <w:tcPr>
            <w:tcW w:w="1960" w:type="dxa"/>
            <w:noWrap/>
            <w:hideMark/>
          </w:tcPr>
          <w:p w14:paraId="208730EB"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£1,414,902</w:t>
            </w:r>
          </w:p>
        </w:tc>
        <w:tc>
          <w:tcPr>
            <w:tcW w:w="1960" w:type="dxa"/>
            <w:noWrap/>
            <w:hideMark/>
          </w:tcPr>
          <w:p w14:paraId="7D6C6256"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£1,414,902</w:t>
            </w:r>
          </w:p>
        </w:tc>
        <w:tc>
          <w:tcPr>
            <w:tcW w:w="1960" w:type="dxa"/>
            <w:noWrap/>
            <w:hideMark/>
          </w:tcPr>
          <w:p w14:paraId="42057B92"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£712,609</w:t>
            </w:r>
          </w:p>
        </w:tc>
      </w:tr>
      <w:tr w:rsidR="00332A71" w:rsidRPr="00642952" w14:paraId="12BB42FE" w14:textId="77777777" w:rsidTr="000F6BC1">
        <w:trPr>
          <w:trHeight w:val="397"/>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6F49DDB" w14:textId="77777777" w:rsidR="00332A71" w:rsidRPr="00642952" w:rsidRDefault="00332A71" w:rsidP="00AE733D">
            <w:pPr>
              <w:pStyle w:val="Table-Body-centred"/>
              <w:jc w:val="left"/>
            </w:pPr>
            <w:r w:rsidRPr="00642952">
              <w:t>Capex (total)</w:t>
            </w:r>
          </w:p>
        </w:tc>
        <w:tc>
          <w:tcPr>
            <w:tcW w:w="1960" w:type="dxa"/>
            <w:noWrap/>
            <w:hideMark/>
          </w:tcPr>
          <w:p w14:paraId="3158BD8A" w14:textId="59D23365" w:rsidR="00332A71" w:rsidRPr="00642952" w:rsidRDefault="00AE733D" w:rsidP="00AE733D">
            <w:pPr>
              <w:pStyle w:val="Table-Body-centred"/>
              <w:cnfStyle w:val="000000000000" w:firstRow="0" w:lastRow="0" w:firstColumn="0" w:lastColumn="0" w:oddVBand="0" w:evenVBand="0" w:oddHBand="0" w:evenHBand="0" w:firstRowFirstColumn="0" w:firstRowLastColumn="0" w:lastRowFirstColumn="0" w:lastRowLastColumn="0"/>
            </w:pPr>
            <w:r>
              <w:t>–</w:t>
            </w:r>
          </w:p>
        </w:tc>
        <w:tc>
          <w:tcPr>
            <w:tcW w:w="1960" w:type="dxa"/>
            <w:noWrap/>
            <w:hideMark/>
          </w:tcPr>
          <w:p w14:paraId="346C2EF3"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£2,750,000</w:t>
            </w:r>
          </w:p>
        </w:tc>
        <w:tc>
          <w:tcPr>
            <w:tcW w:w="1960" w:type="dxa"/>
            <w:noWrap/>
            <w:hideMark/>
          </w:tcPr>
          <w:p w14:paraId="3551F59F"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£1,052,700</w:t>
            </w:r>
          </w:p>
        </w:tc>
        <w:tc>
          <w:tcPr>
            <w:tcW w:w="1960" w:type="dxa"/>
            <w:noWrap/>
            <w:hideMark/>
          </w:tcPr>
          <w:p w14:paraId="2448AA55" w14:textId="77777777" w:rsidR="00332A71" w:rsidRPr="00642952" w:rsidRDefault="00332A71" w:rsidP="00AE733D">
            <w:pPr>
              <w:pStyle w:val="Table-Body-centred"/>
              <w:cnfStyle w:val="000000000000" w:firstRow="0" w:lastRow="0" w:firstColumn="0" w:lastColumn="0" w:oddVBand="0" w:evenVBand="0" w:oddHBand="0" w:evenHBand="0" w:firstRowFirstColumn="0" w:firstRowLastColumn="0" w:lastRowFirstColumn="0" w:lastRowLastColumn="0"/>
            </w:pPr>
            <w:r w:rsidRPr="00642952">
              <w:t>£4,867,200</w:t>
            </w:r>
          </w:p>
        </w:tc>
      </w:tr>
      <w:tr w:rsidR="00332A71" w:rsidRPr="00642952" w14:paraId="024A856D" w14:textId="77777777" w:rsidTr="000F6BC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505C205" w14:textId="77777777" w:rsidR="00332A71" w:rsidRPr="00642952" w:rsidRDefault="00332A71" w:rsidP="00AE733D">
            <w:pPr>
              <w:pStyle w:val="Table-Body-centred"/>
              <w:jc w:val="left"/>
            </w:pPr>
            <w:r w:rsidRPr="00642952">
              <w:t>Capex (annuity)</w:t>
            </w:r>
          </w:p>
        </w:tc>
        <w:tc>
          <w:tcPr>
            <w:tcW w:w="1960" w:type="dxa"/>
            <w:noWrap/>
            <w:hideMark/>
          </w:tcPr>
          <w:p w14:paraId="38F1190D" w14:textId="5C8F1A4E" w:rsidR="00332A71" w:rsidRPr="00642952" w:rsidRDefault="00AE733D" w:rsidP="00AE733D">
            <w:pPr>
              <w:pStyle w:val="Table-Body-centred"/>
              <w:cnfStyle w:val="000000100000" w:firstRow="0" w:lastRow="0" w:firstColumn="0" w:lastColumn="0" w:oddVBand="0" w:evenVBand="0" w:oddHBand="1" w:evenHBand="0" w:firstRowFirstColumn="0" w:firstRowLastColumn="0" w:lastRowFirstColumn="0" w:lastRowLastColumn="0"/>
            </w:pPr>
            <w:r>
              <w:t>–</w:t>
            </w:r>
          </w:p>
        </w:tc>
        <w:tc>
          <w:tcPr>
            <w:tcW w:w="1960" w:type="dxa"/>
            <w:noWrap/>
            <w:hideMark/>
          </w:tcPr>
          <w:p w14:paraId="145ADC65"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£330,664</w:t>
            </w:r>
          </w:p>
        </w:tc>
        <w:tc>
          <w:tcPr>
            <w:tcW w:w="1960" w:type="dxa"/>
            <w:noWrap/>
            <w:hideMark/>
          </w:tcPr>
          <w:p w14:paraId="7CC5CBE8"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£126,578</w:t>
            </w:r>
          </w:p>
        </w:tc>
        <w:tc>
          <w:tcPr>
            <w:tcW w:w="1960" w:type="dxa"/>
            <w:noWrap/>
            <w:hideMark/>
          </w:tcPr>
          <w:p w14:paraId="4B2C6C7B" w14:textId="77777777" w:rsidR="00332A71" w:rsidRPr="00642952" w:rsidRDefault="00332A71" w:rsidP="00AE733D">
            <w:pPr>
              <w:pStyle w:val="Table-Body-centred"/>
              <w:cnfStyle w:val="000000100000" w:firstRow="0" w:lastRow="0" w:firstColumn="0" w:lastColumn="0" w:oddVBand="0" w:evenVBand="0" w:oddHBand="1" w:evenHBand="0" w:firstRowFirstColumn="0" w:firstRowLastColumn="0" w:lastRowFirstColumn="0" w:lastRowLastColumn="0"/>
            </w:pPr>
            <w:r w:rsidRPr="00642952">
              <w:t>£585,239</w:t>
            </w:r>
          </w:p>
        </w:tc>
      </w:tr>
      <w:tr w:rsidR="00332A71" w:rsidRPr="00642952" w14:paraId="4BE2096F" w14:textId="77777777" w:rsidTr="00286B6E">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FED58CC" w14:textId="77777777" w:rsidR="00332A71" w:rsidRPr="00642952" w:rsidRDefault="00332A71" w:rsidP="00AE733D">
            <w:pPr>
              <w:pStyle w:val="Table-Body-centred"/>
              <w:jc w:val="left"/>
            </w:pPr>
            <w:r w:rsidRPr="00642952">
              <w:t xml:space="preserve">Annual total </w:t>
            </w:r>
          </w:p>
        </w:tc>
        <w:tc>
          <w:tcPr>
            <w:tcW w:w="1960" w:type="dxa"/>
            <w:noWrap/>
            <w:hideMark/>
          </w:tcPr>
          <w:p w14:paraId="4F747EC6" w14:textId="77777777" w:rsidR="00332A71" w:rsidRPr="00642952" w:rsidRDefault="00332A71" w:rsidP="00AE733D">
            <w:pPr>
              <w:pStyle w:val="Table-Body-centred"/>
              <w:cnfStyle w:val="010000000000" w:firstRow="0" w:lastRow="1" w:firstColumn="0" w:lastColumn="0" w:oddVBand="0" w:evenVBand="0" w:oddHBand="0" w:evenHBand="0" w:firstRowFirstColumn="0" w:firstRowLastColumn="0" w:lastRowFirstColumn="0" w:lastRowLastColumn="0"/>
            </w:pPr>
            <w:r w:rsidRPr="00642952">
              <w:t>£488,886</w:t>
            </w:r>
          </w:p>
        </w:tc>
        <w:tc>
          <w:tcPr>
            <w:tcW w:w="1960" w:type="dxa"/>
            <w:noWrap/>
            <w:hideMark/>
          </w:tcPr>
          <w:p w14:paraId="43305BA7" w14:textId="77777777" w:rsidR="00332A71" w:rsidRPr="00642952" w:rsidRDefault="00332A71" w:rsidP="00AE733D">
            <w:pPr>
              <w:pStyle w:val="Table-Body-centred"/>
              <w:cnfStyle w:val="010000000000" w:firstRow="0" w:lastRow="1" w:firstColumn="0" w:lastColumn="0" w:oddVBand="0" w:evenVBand="0" w:oddHBand="0" w:evenHBand="0" w:firstRowFirstColumn="0" w:firstRowLastColumn="0" w:lastRowFirstColumn="0" w:lastRowLastColumn="0"/>
            </w:pPr>
            <w:r w:rsidRPr="00642952">
              <w:t>£1,399,040</w:t>
            </w:r>
          </w:p>
        </w:tc>
        <w:tc>
          <w:tcPr>
            <w:tcW w:w="1960" w:type="dxa"/>
            <w:noWrap/>
            <w:hideMark/>
          </w:tcPr>
          <w:p w14:paraId="3138FAD3" w14:textId="77777777" w:rsidR="00332A71" w:rsidRPr="00642952" w:rsidRDefault="00332A71" w:rsidP="00AE733D">
            <w:pPr>
              <w:pStyle w:val="Table-Body-centred"/>
              <w:cnfStyle w:val="010000000000" w:firstRow="0" w:lastRow="1" w:firstColumn="0" w:lastColumn="0" w:oddVBand="0" w:evenVBand="0" w:oddHBand="0" w:evenHBand="0" w:firstRowFirstColumn="0" w:firstRowLastColumn="0" w:lastRowFirstColumn="0" w:lastRowLastColumn="0"/>
            </w:pPr>
            <w:r w:rsidRPr="00642952">
              <w:t>£1,745,566</w:t>
            </w:r>
          </w:p>
        </w:tc>
        <w:tc>
          <w:tcPr>
            <w:tcW w:w="1960" w:type="dxa"/>
            <w:noWrap/>
            <w:hideMark/>
          </w:tcPr>
          <w:p w14:paraId="71FB2C5E" w14:textId="77777777" w:rsidR="00332A71" w:rsidRPr="00642952" w:rsidRDefault="00332A71" w:rsidP="00AE733D">
            <w:pPr>
              <w:pStyle w:val="Table-Body-centred"/>
              <w:cnfStyle w:val="010000000000" w:firstRow="0" w:lastRow="1" w:firstColumn="0" w:lastColumn="0" w:oddVBand="0" w:evenVBand="0" w:oddHBand="0" w:evenHBand="0" w:firstRowFirstColumn="0" w:firstRowLastColumn="0" w:lastRowFirstColumn="0" w:lastRowLastColumn="0"/>
            </w:pPr>
            <w:r w:rsidRPr="00642952">
              <w:t>£1,297,848</w:t>
            </w:r>
          </w:p>
        </w:tc>
      </w:tr>
    </w:tbl>
    <w:p w14:paraId="37B43F67" w14:textId="77777777" w:rsidR="005A050E" w:rsidRPr="00642952" w:rsidRDefault="005A050E" w:rsidP="00800F24"/>
    <w:p w14:paraId="6870DE0F" w14:textId="6219C248" w:rsidR="00405CC2" w:rsidRPr="00642952" w:rsidRDefault="00B55CD9" w:rsidP="00AE733D">
      <w:pPr>
        <w:pStyle w:val="Heading3"/>
      </w:pPr>
      <w:bookmarkStart w:id="30" w:name="_Toc216280663"/>
      <w:bookmarkStart w:id="31" w:name="_Toc224553244"/>
      <w:r w:rsidRPr="00642952">
        <w:t xml:space="preserve">4.3 </w:t>
      </w:r>
      <w:r w:rsidR="00405CC2" w:rsidRPr="00642952">
        <w:t>Sensitivities</w:t>
      </w:r>
      <w:bookmarkEnd w:id="30"/>
      <w:bookmarkEnd w:id="31"/>
    </w:p>
    <w:p w14:paraId="4D03DED5" w14:textId="17FCC234" w:rsidR="00405CC2" w:rsidRPr="00642952" w:rsidRDefault="00405CC2" w:rsidP="00405CC2">
      <w:r w:rsidRPr="00642952">
        <w:t>In addition to testing different assumptions for modelling parameters (central, optimistic, pessimistic)</w:t>
      </w:r>
      <w:r w:rsidR="005C0CAA" w:rsidRPr="00642952">
        <w:t>,</w:t>
      </w:r>
      <w:r w:rsidRPr="00642952">
        <w:t xml:space="preserve"> we also report two sensitivities for the argon system. The core results all assume the same number of pigs are slaughtered annually at the notional site. These sensitivities relax that assumption. </w:t>
      </w:r>
    </w:p>
    <w:p w14:paraId="517E85B0" w14:textId="3DCCA4B6" w:rsidR="0021503A" w:rsidRDefault="00405CC2" w:rsidP="00405CC2">
      <w:r w:rsidRPr="00642952">
        <w:t xml:space="preserve">First, for </w:t>
      </w:r>
      <w:r w:rsidR="005C0CAA" w:rsidRPr="00642952">
        <w:t>a</w:t>
      </w:r>
      <w:r w:rsidRPr="00642952">
        <w:t>rgon with added capacity</w:t>
      </w:r>
      <w:r w:rsidR="005C0CAA" w:rsidRPr="00642952">
        <w:t>,</w:t>
      </w:r>
      <w:r w:rsidRPr="00642952">
        <w:t xml:space="preserve"> we test a case where the added capacity is used to maximise throughput rather than being capped at the baseline weekly kill. As the drop in throughput under an argon system is around 40</w:t>
      </w:r>
      <w:r w:rsidR="001B1CE9" w:rsidRPr="00642952">
        <w:t>%</w:t>
      </w:r>
      <w:r w:rsidRPr="00642952">
        <w:t>, adding a second line (doubling capacity) means that the total possible throughput is higher than under the CO</w:t>
      </w:r>
      <w:r w:rsidRPr="00642952">
        <w:rPr>
          <w:vertAlign w:val="subscript"/>
        </w:rPr>
        <w:t>2</w:t>
      </w:r>
      <w:r w:rsidRPr="00642952">
        <w:t xml:space="preserve"> baseline, and therefore the total possible kill is higher. Whether this additional capacity would be maximised in practice depends on the supply of finishing pigs, but also on the capacity of the rest of the slaughter line (e.g. splitting equipment) to accommodate higher line speeds.</w:t>
      </w:r>
    </w:p>
    <w:p w14:paraId="2888751C" w14:textId="45045004" w:rsidR="00405CC2" w:rsidRPr="00642952" w:rsidRDefault="00405CC2" w:rsidP="00405CC2">
      <w:r w:rsidRPr="00642952">
        <w:t xml:space="preserve">For modelling purposes, this sensitivity abstracts from such downstream bottlenecks and assumes that stunning capacity is the binding constraint. We report estimates for a scenario where the dual-line argon systems are run at full capacity, which equates to a throughput of around 500 pigs per hour for our notional site. </w:t>
      </w:r>
    </w:p>
    <w:p w14:paraId="692A8587" w14:textId="636A77D2" w:rsidR="001214F6" w:rsidRDefault="00405CC2" w:rsidP="00405CC2">
      <w:r w:rsidRPr="00642952">
        <w:lastRenderedPageBreak/>
        <w:t xml:space="preserve">The second sensitivity relates to </w:t>
      </w:r>
      <w:r w:rsidR="00C378B8" w:rsidRPr="00642952">
        <w:t>a</w:t>
      </w:r>
      <w:r w:rsidRPr="00642952">
        <w:t xml:space="preserve">rgon </w:t>
      </w:r>
      <w:r w:rsidRPr="00642952">
        <w:rPr>
          <w:bCs/>
        </w:rPr>
        <w:t>with no added capacity</w:t>
      </w:r>
      <w:r w:rsidRPr="00642952">
        <w:t>. In this sensitivity, we test the estimates in a scenario where the site does not (or cannot) expand operating hours to offset the reduced throughput of argon. This means that under this scenario, 40</w:t>
      </w:r>
      <w:r w:rsidR="00C378B8" w:rsidRPr="00642952">
        <w:t>%</w:t>
      </w:r>
      <w:r w:rsidRPr="00642952">
        <w:t xml:space="preserve"> fewer pigs are killed annually.</w:t>
      </w:r>
    </w:p>
    <w:p w14:paraId="55E6A2BB" w14:textId="77777777" w:rsidR="00EF6BB2" w:rsidRPr="00642952" w:rsidRDefault="00EF6BB2" w:rsidP="00405CC2"/>
    <w:p w14:paraId="5A9831AF" w14:textId="77777777" w:rsidR="006C3382" w:rsidRPr="00642952" w:rsidRDefault="006C3382" w:rsidP="006C3382">
      <w:pPr>
        <w:rPr>
          <w:b/>
          <w:bCs/>
        </w:rPr>
      </w:pPr>
      <w:r w:rsidRPr="00642952">
        <w:rPr>
          <w:b/>
          <w:bCs/>
        </w:rPr>
        <w:t xml:space="preserve">Table </w:t>
      </w:r>
      <w:r w:rsidRPr="00642952">
        <w:rPr>
          <w:b/>
          <w:bCs/>
        </w:rPr>
        <w:fldChar w:fldCharType="begin"/>
      </w:r>
      <w:r w:rsidRPr="00642952">
        <w:rPr>
          <w:b/>
          <w:bCs/>
        </w:rPr>
        <w:instrText>STYLEREF 1 \s</w:instrText>
      </w:r>
      <w:r w:rsidRPr="00642952">
        <w:rPr>
          <w:b/>
          <w:bCs/>
        </w:rPr>
        <w:fldChar w:fldCharType="separate"/>
      </w:r>
      <w:r w:rsidRPr="00642952">
        <w:rPr>
          <w:b/>
          <w:bCs/>
        </w:rPr>
        <w:t>4</w:t>
      </w:r>
      <w:r w:rsidRPr="00642952">
        <w:fldChar w:fldCharType="end"/>
      </w:r>
      <w:r w:rsidRPr="00642952">
        <w:rPr>
          <w:b/>
          <w:bCs/>
        </w:rPr>
        <w:t>.</w:t>
      </w:r>
      <w:r w:rsidRPr="00642952">
        <w:rPr>
          <w:b/>
          <w:bCs/>
        </w:rPr>
        <w:fldChar w:fldCharType="begin"/>
      </w:r>
      <w:r w:rsidRPr="00642952">
        <w:rPr>
          <w:b/>
          <w:bCs/>
        </w:rPr>
        <w:instrText>SEQ Table \* ARABIC \s 1</w:instrText>
      </w:r>
      <w:r w:rsidRPr="00642952">
        <w:rPr>
          <w:b/>
          <w:bCs/>
        </w:rPr>
        <w:fldChar w:fldCharType="separate"/>
      </w:r>
      <w:r w:rsidRPr="00642952">
        <w:rPr>
          <w:b/>
          <w:bCs/>
        </w:rPr>
        <w:t>6</w:t>
      </w:r>
      <w:r w:rsidRPr="00642952">
        <w:fldChar w:fldCharType="end"/>
      </w:r>
      <w:r w:rsidRPr="00642952">
        <w:rPr>
          <w:b/>
          <w:bCs/>
        </w:rPr>
        <w:t>: Cost increase relative to CO</w:t>
      </w:r>
      <w:r w:rsidRPr="00642952">
        <w:rPr>
          <w:b/>
          <w:bCs/>
          <w:vertAlign w:val="subscript"/>
        </w:rPr>
        <w:t xml:space="preserve">2 </w:t>
      </w:r>
      <w:r w:rsidRPr="00642952">
        <w:rPr>
          <w:b/>
          <w:bCs/>
        </w:rPr>
        <w:t>for sensitivity scenarios</w:t>
      </w:r>
    </w:p>
    <w:tbl>
      <w:tblPr>
        <w:tblStyle w:val="ListTable2-Accent1"/>
        <w:tblW w:w="9476" w:type="dxa"/>
        <w:tblLook w:val="04A0" w:firstRow="1" w:lastRow="0" w:firstColumn="1" w:lastColumn="0" w:noHBand="0" w:noVBand="1"/>
      </w:tblPr>
      <w:tblGrid>
        <w:gridCol w:w="4962"/>
        <w:gridCol w:w="878"/>
        <w:gridCol w:w="1818"/>
        <w:gridCol w:w="1818"/>
      </w:tblGrid>
      <w:tr w:rsidR="00D112A0" w:rsidRPr="00642952" w14:paraId="2F75BFD5" w14:textId="77777777" w:rsidTr="000F6BC1">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24535E2" w14:textId="77777777" w:rsidR="00D112A0" w:rsidRPr="00642952" w:rsidRDefault="00D112A0" w:rsidP="006628ED">
            <w:pPr>
              <w:pStyle w:val="Table-Body-centred"/>
            </w:pPr>
            <w:r w:rsidRPr="00642952">
              <w:t> </w:t>
            </w:r>
          </w:p>
        </w:tc>
        <w:tc>
          <w:tcPr>
            <w:tcW w:w="878" w:type="dxa"/>
            <w:noWrap/>
            <w:hideMark/>
          </w:tcPr>
          <w:p w14:paraId="2430E11E" w14:textId="77777777" w:rsidR="00D112A0" w:rsidRPr="00642952" w:rsidRDefault="00D112A0" w:rsidP="006628ED">
            <w:pPr>
              <w:pStyle w:val="Table-Body-centred"/>
              <w:cnfStyle w:val="100000000000" w:firstRow="1" w:lastRow="0" w:firstColumn="0" w:lastColumn="0" w:oddVBand="0" w:evenVBand="0" w:oddHBand="0" w:evenHBand="0" w:firstRowFirstColumn="0" w:firstRowLastColumn="0" w:lastRowFirstColumn="0" w:lastRowLastColumn="0"/>
            </w:pPr>
            <w:r w:rsidRPr="00642952">
              <w:t>Central</w:t>
            </w:r>
          </w:p>
        </w:tc>
        <w:tc>
          <w:tcPr>
            <w:tcW w:w="1818" w:type="dxa"/>
            <w:noWrap/>
            <w:hideMark/>
          </w:tcPr>
          <w:p w14:paraId="0238F05A" w14:textId="77777777" w:rsidR="00D112A0" w:rsidRPr="00642952" w:rsidRDefault="00D112A0" w:rsidP="006628ED">
            <w:pPr>
              <w:pStyle w:val="Table-Body-centred"/>
              <w:cnfStyle w:val="100000000000" w:firstRow="1" w:lastRow="0" w:firstColumn="0" w:lastColumn="0" w:oddVBand="0" w:evenVBand="0" w:oddHBand="0" w:evenHBand="0" w:firstRowFirstColumn="0" w:firstRowLastColumn="0" w:lastRowFirstColumn="0" w:lastRowLastColumn="0"/>
            </w:pPr>
            <w:r w:rsidRPr="00642952">
              <w:t>Optimistic</w:t>
            </w:r>
          </w:p>
        </w:tc>
        <w:tc>
          <w:tcPr>
            <w:tcW w:w="1818" w:type="dxa"/>
            <w:noWrap/>
            <w:hideMark/>
          </w:tcPr>
          <w:p w14:paraId="5D6965DD" w14:textId="77777777" w:rsidR="00D112A0" w:rsidRPr="00642952" w:rsidRDefault="00D112A0" w:rsidP="006628ED">
            <w:pPr>
              <w:pStyle w:val="Table-Body-centred"/>
              <w:cnfStyle w:val="100000000000" w:firstRow="1" w:lastRow="0" w:firstColumn="0" w:lastColumn="0" w:oddVBand="0" w:evenVBand="0" w:oddHBand="0" w:evenHBand="0" w:firstRowFirstColumn="0" w:firstRowLastColumn="0" w:lastRowFirstColumn="0" w:lastRowLastColumn="0"/>
            </w:pPr>
            <w:r w:rsidRPr="00642952">
              <w:t>Pessimistic</w:t>
            </w:r>
          </w:p>
        </w:tc>
      </w:tr>
      <w:tr w:rsidR="00DE66FC" w:rsidRPr="00642952" w14:paraId="6D287E8F" w14:textId="77777777" w:rsidTr="000F6BC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34D121D" w14:textId="77777777" w:rsidR="00DE66FC" w:rsidRPr="00642952" w:rsidRDefault="00DE66FC" w:rsidP="00DE66FC">
            <w:pPr>
              <w:pStyle w:val="Table-Body-centred"/>
              <w:jc w:val="left"/>
            </w:pPr>
            <w:r w:rsidRPr="00642952">
              <w:t>CO</w:t>
            </w:r>
            <w:r w:rsidRPr="00DE66FC">
              <w:rPr>
                <w:vertAlign w:val="subscript"/>
              </w:rPr>
              <w:t>2</w:t>
            </w:r>
            <w:r w:rsidRPr="00642952">
              <w:t xml:space="preserve"> baseline</w:t>
            </w:r>
          </w:p>
        </w:tc>
        <w:tc>
          <w:tcPr>
            <w:tcW w:w="878" w:type="dxa"/>
            <w:noWrap/>
            <w:hideMark/>
          </w:tcPr>
          <w:p w14:paraId="4EBCC42B" w14:textId="2D39AF5A" w:rsidR="00DE66FC" w:rsidRPr="00642952" w:rsidRDefault="00DE66FC" w:rsidP="00DE66FC">
            <w:pPr>
              <w:pStyle w:val="Table-Body-centred"/>
              <w:cnfStyle w:val="000000100000" w:firstRow="0" w:lastRow="0" w:firstColumn="0" w:lastColumn="0" w:oddVBand="0" w:evenVBand="0" w:oddHBand="1" w:evenHBand="0" w:firstRowFirstColumn="0" w:firstRowLastColumn="0" w:lastRowFirstColumn="0" w:lastRowLastColumn="0"/>
            </w:pPr>
            <w:r>
              <w:t>–</w:t>
            </w:r>
          </w:p>
        </w:tc>
        <w:tc>
          <w:tcPr>
            <w:tcW w:w="1818" w:type="dxa"/>
            <w:noWrap/>
            <w:hideMark/>
          </w:tcPr>
          <w:p w14:paraId="3ABE7319" w14:textId="1908E797" w:rsidR="00DE66FC" w:rsidRPr="00642952" w:rsidRDefault="00DE66FC" w:rsidP="00DE66FC">
            <w:pPr>
              <w:pStyle w:val="Table-Body-centred"/>
              <w:cnfStyle w:val="000000100000" w:firstRow="0" w:lastRow="0" w:firstColumn="0" w:lastColumn="0" w:oddVBand="0" w:evenVBand="0" w:oddHBand="1" w:evenHBand="0" w:firstRowFirstColumn="0" w:firstRowLastColumn="0" w:lastRowFirstColumn="0" w:lastRowLastColumn="0"/>
            </w:pPr>
            <w:r>
              <w:t>–</w:t>
            </w:r>
          </w:p>
        </w:tc>
        <w:tc>
          <w:tcPr>
            <w:tcW w:w="1818" w:type="dxa"/>
            <w:noWrap/>
            <w:hideMark/>
          </w:tcPr>
          <w:p w14:paraId="375258E1" w14:textId="05A941CF" w:rsidR="00DE66FC" w:rsidRPr="00642952" w:rsidRDefault="00DE66FC" w:rsidP="00DE66FC">
            <w:pPr>
              <w:pStyle w:val="Table-Body-centred"/>
              <w:cnfStyle w:val="000000100000" w:firstRow="0" w:lastRow="0" w:firstColumn="0" w:lastColumn="0" w:oddVBand="0" w:evenVBand="0" w:oddHBand="1" w:evenHBand="0" w:firstRowFirstColumn="0" w:firstRowLastColumn="0" w:lastRowFirstColumn="0" w:lastRowLastColumn="0"/>
            </w:pPr>
            <w:r>
              <w:t>–</w:t>
            </w:r>
          </w:p>
        </w:tc>
      </w:tr>
      <w:tr w:rsidR="00D112A0" w:rsidRPr="00642952" w14:paraId="3817E7FA" w14:textId="77777777" w:rsidTr="000F6BC1">
        <w:trPr>
          <w:trHeight w:val="39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58C3773" w14:textId="77777777" w:rsidR="00D112A0" w:rsidRPr="00642952" w:rsidRDefault="00D112A0" w:rsidP="006628ED">
            <w:pPr>
              <w:pStyle w:val="Table-Body-centred"/>
              <w:jc w:val="left"/>
            </w:pPr>
            <w:r w:rsidRPr="00642952">
              <w:t>Argon with added capacity</w:t>
            </w:r>
            <w:r w:rsidRPr="00642952" w:rsidDel="00737690">
              <w:t xml:space="preserve"> </w:t>
            </w:r>
            <w:r w:rsidRPr="00642952">
              <w:t>with maximised output</w:t>
            </w:r>
          </w:p>
        </w:tc>
        <w:tc>
          <w:tcPr>
            <w:tcW w:w="878" w:type="dxa"/>
            <w:noWrap/>
            <w:hideMark/>
          </w:tcPr>
          <w:p w14:paraId="2F38083A" w14:textId="77777777" w:rsidR="00D112A0" w:rsidRPr="00642952" w:rsidRDefault="00D112A0" w:rsidP="006628ED">
            <w:pPr>
              <w:pStyle w:val="Table-Body-centred"/>
              <w:cnfStyle w:val="000000000000" w:firstRow="0" w:lastRow="0" w:firstColumn="0" w:lastColumn="0" w:oddVBand="0" w:evenVBand="0" w:oddHBand="0" w:evenHBand="0" w:firstRowFirstColumn="0" w:firstRowLastColumn="0" w:lastRowFirstColumn="0" w:lastRowLastColumn="0"/>
            </w:pPr>
            <w:r w:rsidRPr="00642952">
              <w:t>234%</w:t>
            </w:r>
          </w:p>
        </w:tc>
        <w:tc>
          <w:tcPr>
            <w:tcW w:w="1818" w:type="dxa"/>
            <w:noWrap/>
            <w:hideMark/>
          </w:tcPr>
          <w:p w14:paraId="13A05D8F" w14:textId="77777777" w:rsidR="00D112A0" w:rsidRPr="00642952" w:rsidRDefault="00D112A0" w:rsidP="006628ED">
            <w:pPr>
              <w:pStyle w:val="Table-Body-centred"/>
              <w:cnfStyle w:val="000000000000" w:firstRow="0" w:lastRow="0" w:firstColumn="0" w:lastColumn="0" w:oddVBand="0" w:evenVBand="0" w:oddHBand="0" w:evenHBand="0" w:firstRowFirstColumn="0" w:firstRowLastColumn="0" w:lastRowFirstColumn="0" w:lastRowLastColumn="0"/>
            </w:pPr>
            <w:r w:rsidRPr="00642952">
              <w:t>155%</w:t>
            </w:r>
          </w:p>
        </w:tc>
        <w:tc>
          <w:tcPr>
            <w:tcW w:w="1818" w:type="dxa"/>
            <w:noWrap/>
            <w:hideMark/>
          </w:tcPr>
          <w:p w14:paraId="0A31EB2E" w14:textId="77777777" w:rsidR="00D112A0" w:rsidRPr="00642952" w:rsidRDefault="00D112A0" w:rsidP="006628ED">
            <w:pPr>
              <w:pStyle w:val="Table-Body-centred"/>
              <w:cnfStyle w:val="000000000000" w:firstRow="0" w:lastRow="0" w:firstColumn="0" w:lastColumn="0" w:oddVBand="0" w:evenVBand="0" w:oddHBand="0" w:evenHBand="0" w:firstRowFirstColumn="0" w:firstRowLastColumn="0" w:lastRowFirstColumn="0" w:lastRowLastColumn="0"/>
            </w:pPr>
            <w:r w:rsidRPr="00642952">
              <w:t>367%</w:t>
            </w:r>
          </w:p>
        </w:tc>
      </w:tr>
      <w:tr w:rsidR="00D112A0" w:rsidRPr="00642952" w14:paraId="2E9EDE4F" w14:textId="77777777" w:rsidTr="000F6BC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82B385E" w14:textId="77777777" w:rsidR="00D112A0" w:rsidRPr="00642952" w:rsidRDefault="00D112A0" w:rsidP="006628ED">
            <w:pPr>
              <w:pStyle w:val="Table-Body-centred"/>
              <w:jc w:val="left"/>
            </w:pPr>
            <w:r w:rsidRPr="00642952">
              <w:t>Argon with no added capacity and no extended hours</w:t>
            </w:r>
          </w:p>
        </w:tc>
        <w:tc>
          <w:tcPr>
            <w:tcW w:w="878" w:type="dxa"/>
            <w:noWrap/>
            <w:hideMark/>
          </w:tcPr>
          <w:p w14:paraId="7D1E19C1" w14:textId="77777777" w:rsidR="00D112A0" w:rsidRPr="00642952" w:rsidRDefault="00D112A0" w:rsidP="006628ED">
            <w:pPr>
              <w:pStyle w:val="Table-Body-centred"/>
              <w:cnfStyle w:val="000000100000" w:firstRow="0" w:lastRow="0" w:firstColumn="0" w:lastColumn="0" w:oddVBand="0" w:evenVBand="0" w:oddHBand="1" w:evenHBand="0" w:firstRowFirstColumn="0" w:firstRowLastColumn="0" w:lastRowFirstColumn="0" w:lastRowLastColumn="0"/>
            </w:pPr>
            <w:r w:rsidRPr="00642952">
              <w:t>234%</w:t>
            </w:r>
          </w:p>
        </w:tc>
        <w:tc>
          <w:tcPr>
            <w:tcW w:w="1818" w:type="dxa"/>
            <w:noWrap/>
            <w:hideMark/>
          </w:tcPr>
          <w:p w14:paraId="06CEF661" w14:textId="77777777" w:rsidR="00D112A0" w:rsidRPr="00642952" w:rsidRDefault="00D112A0" w:rsidP="006628ED">
            <w:pPr>
              <w:pStyle w:val="Table-Body-centred"/>
              <w:cnfStyle w:val="000000100000" w:firstRow="0" w:lastRow="0" w:firstColumn="0" w:lastColumn="0" w:oddVBand="0" w:evenVBand="0" w:oddHBand="1" w:evenHBand="0" w:firstRowFirstColumn="0" w:firstRowLastColumn="0" w:lastRowFirstColumn="0" w:lastRowLastColumn="0"/>
            </w:pPr>
            <w:r w:rsidRPr="00642952">
              <w:t>174%</w:t>
            </w:r>
          </w:p>
        </w:tc>
        <w:tc>
          <w:tcPr>
            <w:tcW w:w="1818" w:type="dxa"/>
            <w:noWrap/>
            <w:hideMark/>
          </w:tcPr>
          <w:p w14:paraId="4CCEA50E" w14:textId="77777777" w:rsidR="00D112A0" w:rsidRPr="00642952" w:rsidRDefault="00D112A0" w:rsidP="006628ED">
            <w:pPr>
              <w:pStyle w:val="Table-Body-centred"/>
              <w:cnfStyle w:val="000000100000" w:firstRow="0" w:lastRow="0" w:firstColumn="0" w:lastColumn="0" w:oddVBand="0" w:evenVBand="0" w:oddHBand="1" w:evenHBand="0" w:firstRowFirstColumn="0" w:firstRowLastColumn="0" w:lastRowFirstColumn="0" w:lastRowLastColumn="0"/>
            </w:pPr>
            <w:r w:rsidRPr="00642952">
              <w:t>349%</w:t>
            </w:r>
          </w:p>
        </w:tc>
      </w:tr>
    </w:tbl>
    <w:p w14:paraId="121FF0DF" w14:textId="77777777" w:rsidR="001214F6" w:rsidRPr="00642952" w:rsidRDefault="001214F6" w:rsidP="00800F24"/>
    <w:p w14:paraId="37BD5A88" w14:textId="5FC5F9FF" w:rsidR="0027661A" w:rsidRPr="00642952" w:rsidRDefault="0027661A" w:rsidP="0027661A">
      <w:r w:rsidRPr="00642952">
        <w:t xml:space="preserve">For the </w:t>
      </w:r>
      <w:r w:rsidR="00FA7781" w:rsidRPr="00642952">
        <w:t>a</w:t>
      </w:r>
      <w:r w:rsidRPr="00642952">
        <w:t>rgon with added capacity</w:t>
      </w:r>
      <w:r w:rsidRPr="00642952" w:rsidDel="00737690">
        <w:t xml:space="preserve"> </w:t>
      </w:r>
      <w:r w:rsidRPr="00642952">
        <w:t>sensitivity, per-pig costs are 234</w:t>
      </w:r>
      <w:r w:rsidR="005522BF" w:rsidRPr="00642952">
        <w:t>%</w:t>
      </w:r>
      <w:r w:rsidRPr="00642952">
        <w:t xml:space="preserve"> above the CO</w:t>
      </w:r>
      <w:r w:rsidRPr="00642952">
        <w:rPr>
          <w:vertAlign w:val="subscript"/>
        </w:rPr>
        <w:t xml:space="preserve">2 </w:t>
      </w:r>
      <w:r w:rsidRPr="00642952">
        <w:t xml:space="preserve">baseline. This is a smaller increase than for the core </w:t>
      </w:r>
      <w:r w:rsidR="005522BF" w:rsidRPr="00642952">
        <w:t>a</w:t>
      </w:r>
      <w:r w:rsidRPr="00642952">
        <w:t>rgon with added capacity scenario (257</w:t>
      </w:r>
      <w:r w:rsidR="005522BF" w:rsidRPr="00642952">
        <w:t>%</w:t>
      </w:r>
      <w:r w:rsidRPr="00642952">
        <w:t>) because fixed cost elements (labour for the extra unit, capital annuity and part of maintenance) are spread over more pigs. Annual total costs are higher. This sensitivity illustrates that added capacity can reduce unit costs, although not enough to be as cheap as CO</w:t>
      </w:r>
      <w:r w:rsidRPr="00642952">
        <w:rPr>
          <w:vertAlign w:val="subscript"/>
        </w:rPr>
        <w:t>2</w:t>
      </w:r>
      <w:r w:rsidRPr="00642952">
        <w:t>, but it assumes a market for higher volumes and does not remove the need for capital outlay or commissioning time.</w:t>
      </w:r>
    </w:p>
    <w:p w14:paraId="7646F7CF" w14:textId="3DF50C41" w:rsidR="0027661A" w:rsidRPr="00642952" w:rsidRDefault="0027661A" w:rsidP="0027661A">
      <w:r w:rsidRPr="00642952">
        <w:t xml:space="preserve">For the </w:t>
      </w:r>
      <w:r w:rsidR="00626B14" w:rsidRPr="00642952">
        <w:t>a</w:t>
      </w:r>
      <w:r w:rsidRPr="00642952">
        <w:t>rgon with no added capacity sensitivity, per pig costs are also 234</w:t>
      </w:r>
      <w:r w:rsidR="00626B14" w:rsidRPr="00642952">
        <w:t>%</w:t>
      </w:r>
      <w:r w:rsidRPr="00642952">
        <w:t xml:space="preserve"> above the CO</w:t>
      </w:r>
      <w:r w:rsidRPr="00642952">
        <w:rPr>
          <w:vertAlign w:val="subscript"/>
        </w:rPr>
        <w:t xml:space="preserve">2 </w:t>
      </w:r>
      <w:r w:rsidRPr="00642952">
        <w:t>baseline. Per</w:t>
      </w:r>
      <w:r w:rsidR="00626B14" w:rsidRPr="00642952">
        <w:t>-</w:t>
      </w:r>
      <w:r w:rsidRPr="00642952">
        <w:t xml:space="preserve">pig costs are higher relative to the extended-hours variant because fixed costs are spread over fewer pigs. We include this case for completeness and to show the cost consequences should extended hours </w:t>
      </w:r>
      <w:proofErr w:type="gramStart"/>
      <w:r w:rsidRPr="00642952">
        <w:t>not be</w:t>
      </w:r>
      <w:proofErr w:type="gramEnd"/>
      <w:r w:rsidRPr="00642952">
        <w:t xml:space="preserve"> feasible.</w:t>
      </w:r>
    </w:p>
    <w:p w14:paraId="314D51F5" w14:textId="3F36EBBB" w:rsidR="001214F6" w:rsidRPr="00642952" w:rsidRDefault="0027661A" w:rsidP="0027661A">
      <w:r w:rsidRPr="00642952">
        <w:t>Beyond these test scenarios, the most informative sensitivities are at the parameter level. Results move most with:</w:t>
      </w:r>
    </w:p>
    <w:p w14:paraId="469DE55F" w14:textId="51A607CD" w:rsidR="004A1369" w:rsidRPr="00642952" w:rsidRDefault="00E8224C" w:rsidP="000013AD">
      <w:pPr>
        <w:pStyle w:val="ListParagraph"/>
        <w:numPr>
          <w:ilvl w:val="0"/>
          <w:numId w:val="34"/>
        </w:numPr>
      </w:pPr>
      <w:r w:rsidRPr="00642952">
        <w:t>T</w:t>
      </w:r>
      <w:r w:rsidR="004A1369" w:rsidRPr="00642952">
        <w:t>he throughput penalty assumed for argon</w:t>
      </w:r>
    </w:p>
    <w:p w14:paraId="32754D0C" w14:textId="5A448A8B" w:rsidR="004A1369" w:rsidRPr="00642952" w:rsidRDefault="00E8224C" w:rsidP="000013AD">
      <w:pPr>
        <w:pStyle w:val="ListParagraph"/>
        <w:numPr>
          <w:ilvl w:val="0"/>
          <w:numId w:val="34"/>
        </w:numPr>
      </w:pPr>
      <w:r w:rsidRPr="00642952">
        <w:t>T</w:t>
      </w:r>
      <w:r w:rsidR="004A1369" w:rsidRPr="00642952">
        <w:t>he argon-to-CO</w:t>
      </w:r>
      <w:r w:rsidR="004A1369" w:rsidRPr="00642952">
        <w:rPr>
          <w:rFonts w:ascii="Cambria Math" w:hAnsi="Cambria Math" w:cs="Cambria Math"/>
        </w:rPr>
        <w:t>₂</w:t>
      </w:r>
      <w:r w:rsidR="004A1369" w:rsidRPr="00642952">
        <w:t xml:space="preserve"> price factor and argon consumption assumptions</w:t>
      </w:r>
    </w:p>
    <w:p w14:paraId="59198F8A" w14:textId="660A42D8" w:rsidR="004A1369" w:rsidRPr="00642952" w:rsidRDefault="00E8224C" w:rsidP="000013AD">
      <w:pPr>
        <w:pStyle w:val="ListParagraph"/>
        <w:numPr>
          <w:ilvl w:val="0"/>
          <w:numId w:val="34"/>
        </w:numPr>
      </w:pPr>
      <w:r w:rsidRPr="00642952">
        <w:t>L</w:t>
      </w:r>
      <w:r w:rsidR="004A1369" w:rsidRPr="00642952">
        <w:t>abour costs, including the wage rate and any overtime premium under extended hours</w:t>
      </w:r>
    </w:p>
    <w:p w14:paraId="44A4743A" w14:textId="212A8087" w:rsidR="004A1369" w:rsidRPr="00642952" w:rsidRDefault="00E8224C" w:rsidP="000013AD">
      <w:pPr>
        <w:pStyle w:val="ListParagraph"/>
        <w:numPr>
          <w:ilvl w:val="0"/>
          <w:numId w:val="34"/>
        </w:numPr>
      </w:pPr>
      <w:r w:rsidRPr="00642952">
        <w:t>T</w:t>
      </w:r>
      <w:r w:rsidR="004A1369" w:rsidRPr="00642952">
        <w:t>he capital envelope for equipment and building works, represented through the annuity</w:t>
      </w:r>
    </w:p>
    <w:p w14:paraId="740BBFC4" w14:textId="77777777" w:rsidR="004A1369" w:rsidRPr="00642952" w:rsidRDefault="004A1369" w:rsidP="004A1369">
      <w:r w:rsidRPr="00642952">
        <w:t>We also test baseline scale. Using the low- and high-throughput baseline variants changes the per-pig comparison in predictable ways: lower baseline throughput makes all options look more expensive per pig because fixed costs bite harder; higher baseline throughput has the opposite effect.</w:t>
      </w:r>
    </w:p>
    <w:p w14:paraId="375D7A67" w14:textId="77777777" w:rsidR="005A09B6" w:rsidRPr="00642952" w:rsidRDefault="005A09B6" w:rsidP="00FA2CFA">
      <w:pPr>
        <w:pStyle w:val="Heading4"/>
      </w:pPr>
      <w:r w:rsidRPr="00642952">
        <w:t>Robustness of the results</w:t>
      </w:r>
    </w:p>
    <w:p w14:paraId="182D8AED" w14:textId="77777777" w:rsidR="005A09B6" w:rsidRPr="00642952" w:rsidRDefault="005A09B6" w:rsidP="005A09B6">
      <w:r w:rsidRPr="00642952">
        <w:t>The central finding – that all alternatives are materially more expensive per pig than the current CO</w:t>
      </w:r>
      <w:r w:rsidRPr="00642952">
        <w:rPr>
          <w:rFonts w:ascii="Cambria Math" w:hAnsi="Cambria Math" w:cs="Cambria Math"/>
        </w:rPr>
        <w:t>₂</w:t>
      </w:r>
      <w:r w:rsidRPr="00642952">
        <w:t xml:space="preserve"> baseline – is robust across the tested ranges. However, the level of the uplifts is sensitive to several uncertain inputs. </w:t>
      </w:r>
    </w:p>
    <w:p w14:paraId="263760D8" w14:textId="453B2B20" w:rsidR="005A09B6" w:rsidRPr="00642952" w:rsidRDefault="005A09B6" w:rsidP="005A09B6">
      <w:r w:rsidRPr="00642952">
        <w:t>Capital costs are the largest uncertainty. Stakeholders have not yet undertaken detailed retrofit or installation costing, so the evidence available to us is high</w:t>
      </w:r>
      <w:r w:rsidR="00C24E5D" w:rsidRPr="00642952">
        <w:t xml:space="preserve"> </w:t>
      </w:r>
      <w:r w:rsidRPr="00642952">
        <w:t>level. PigStun provides more developed figures, but these are case-specific to continental layouts and may not transfer directly to UK sites. Building and services works are especially site-dependent and could vary materially with footprint and planning constraints. Moreover</w:t>
      </w:r>
      <w:r w:rsidR="00A70CDC">
        <w:t>,</w:t>
      </w:r>
      <w:r w:rsidRPr="00642952">
        <w:t xml:space="preserve"> the annuitised figures exclude lost production during installation, because downtime evidence is mixed and site-specific. An extended shutdown could add substantial costs.</w:t>
      </w:r>
    </w:p>
    <w:p w14:paraId="358B0188" w14:textId="77777777" w:rsidR="005A09B6" w:rsidRPr="00642952" w:rsidRDefault="005A09B6" w:rsidP="005A09B6">
      <w:r w:rsidRPr="00642952">
        <w:t xml:space="preserve">There is also uncertainty around throughput and labour. No UK plant has operated argon at commercial scale, so pigs-per-hour effects are taken from international evidence and triangulated with stakeholder expectations. Small changes in the assumed throughput penalty have a large effect on per-pig costs through both the labour </w:t>
      </w:r>
      <w:r w:rsidRPr="00642952">
        <w:lastRenderedPageBreak/>
        <w:t xml:space="preserve">requirement and the denominator for unit costs. Labour costs themselves depend on staffing models and the feasibility of extended hours, including the availability of inspection staff. </w:t>
      </w:r>
    </w:p>
    <w:p w14:paraId="30C687B0" w14:textId="77777777" w:rsidR="005A09B6" w:rsidRPr="00642952" w:rsidRDefault="005A09B6" w:rsidP="005A09B6">
      <w:r w:rsidRPr="00642952">
        <w:t>Input prices add further variability. Argon is typically cited as several times the price of CO</w:t>
      </w:r>
      <w:r w:rsidRPr="00642952">
        <w:rPr>
          <w:rFonts w:ascii="Cambria Math" w:hAnsi="Cambria Math" w:cs="Cambria Math"/>
        </w:rPr>
        <w:t>₂</w:t>
      </w:r>
      <w:r w:rsidRPr="00642952">
        <w:t xml:space="preserve"> and is subject to market conditions; we vary the price factor in our optimistic and pessimistic scenarios. Electricity prices affect the electrical option </w:t>
      </w:r>
      <w:proofErr w:type="gramStart"/>
      <w:r w:rsidRPr="00642952">
        <w:t>in particular and</w:t>
      </w:r>
      <w:proofErr w:type="gramEnd"/>
      <w:r w:rsidRPr="00642952">
        <w:t xml:space="preserve"> again different assumptions are tested in our scenarios.</w:t>
      </w:r>
    </w:p>
    <w:p w14:paraId="3E8B3D43" w14:textId="77777777" w:rsidR="00035C44" w:rsidRDefault="00EB27F2" w:rsidP="00EB27F2">
      <w:r w:rsidRPr="00642952">
        <w:t>Finally, several impacts are unquantified and therefore not contained in the estimates. These include diversion and haulage costs if animals are routed to other plants during conversion (which would also require retailer consent and may trigger approvals and administrative steps), site-specific relocation or footprint costs where existing space is insufficient and impacts on sales (both in domestic and export markets) from an increase in prices driven by higher unit costs.</w:t>
      </w:r>
    </w:p>
    <w:p w14:paraId="6DFD7A74" w14:textId="7E94D4CE" w:rsidR="00EB27F2" w:rsidRPr="00642952" w:rsidRDefault="00EB27F2" w:rsidP="00EB27F2">
      <w:r w:rsidRPr="00642952">
        <w:t>In addition, it is likely that there would be one-off costs related to health and safety training for staff when first adopting a new stunning method. The nature and scale of these training requirements may differ between gas and electrical systems and will depend on site-specific risk assessments (for example, around pre-stun handling or gas</w:t>
      </w:r>
      <w:r w:rsidR="00A96F4D" w:rsidRPr="00642952">
        <w:t xml:space="preserve"> </w:t>
      </w:r>
      <w:r w:rsidRPr="00642952">
        <w:t>safety risks). Where these unquantified costs arise in practice</w:t>
      </w:r>
      <w:r w:rsidR="006773C8" w:rsidRPr="00642952">
        <w:t>,</w:t>
      </w:r>
      <w:r w:rsidRPr="00642952">
        <w:t xml:space="preserve"> they would add to the per-pig figures shown for the notional site.</w:t>
      </w:r>
    </w:p>
    <w:p w14:paraId="40E86C6E" w14:textId="2EB4CF1C" w:rsidR="001214F6" w:rsidRPr="00642952" w:rsidRDefault="00EB27F2" w:rsidP="00800F24">
      <w:r w:rsidRPr="00642952">
        <w:t>Lost production during conversion and the costs of diverting pigs are not included in the per</w:t>
      </w:r>
      <w:r w:rsidR="006773C8" w:rsidRPr="00642952">
        <w:t>-</w:t>
      </w:r>
      <w:r w:rsidRPr="00642952">
        <w:t>pig figures. Quantifying them credibly for a notional site is not feasible. Firstly, the impacts are highly dependent on site-specific factors like footprint and the extent to which some operations can continue during renovations. Second, in a coordinated transition, the net effect on a single site depends on sequencing, geography and retailer consent. These are network effects that would not be appropriate to try to estimate for a single notional site. They are discussed qualitatively in the next chapter.</w:t>
      </w:r>
    </w:p>
    <w:p w14:paraId="48CD0837" w14:textId="088FA5B8" w:rsidR="00CA53EB" w:rsidRPr="00642952" w:rsidRDefault="00FE473D" w:rsidP="00CA53EB">
      <w:pPr>
        <w:pStyle w:val="Heading2"/>
      </w:pPr>
      <w:bookmarkStart w:id="32" w:name="_Toc224553245"/>
      <w:r w:rsidRPr="00642952">
        <w:t xml:space="preserve">5 </w:t>
      </w:r>
      <w:r w:rsidR="00171371" w:rsidRPr="00642952">
        <w:t>Wider impacts</w:t>
      </w:r>
      <w:bookmarkEnd w:id="32"/>
    </w:p>
    <w:p w14:paraId="2053A0CB" w14:textId="315F7662" w:rsidR="003A5753" w:rsidRPr="00642952" w:rsidRDefault="003A5753" w:rsidP="003A5753">
      <w:r w:rsidRPr="00642952">
        <w:t xml:space="preserve">This chapter discusses wider impacts and practical considerations identified in our study that are not quantified in the cost model. The cost model quantifies per pig costs for a notional UK site, holding annual </w:t>
      </w:r>
      <w:proofErr w:type="gramStart"/>
      <w:r w:rsidR="00C7253A" w:rsidRPr="00642952">
        <w:t>pigs</w:t>
      </w:r>
      <w:proofErr w:type="gramEnd"/>
      <w:r w:rsidR="00C7253A" w:rsidRPr="00642952">
        <w:t xml:space="preserve"> constant</w:t>
      </w:r>
      <w:r w:rsidRPr="00642952">
        <w:t xml:space="preserve">. This provides an estimate of site-level impacts of switching to alternative stunning systems, for the costs we can quantify robustly with available data. Sector outcomes depend on how plants transition and how markets respond. </w:t>
      </w:r>
    </w:p>
    <w:p w14:paraId="4AD49ADD" w14:textId="0EC80AAF" w:rsidR="00FE473D" w:rsidRPr="00642952" w:rsidRDefault="003A5753" w:rsidP="003A5753">
      <w:r w:rsidRPr="00642952">
        <w:t xml:space="preserve">This chapter </w:t>
      </w:r>
      <w:r w:rsidR="00602E2A">
        <w:t xml:space="preserve">also </w:t>
      </w:r>
      <w:r w:rsidRPr="00642952">
        <w:t>considers the impact of short-run disruptions (downtime and diversion) and longer-run equilibrium impacts under alternative</w:t>
      </w:r>
      <w:r w:rsidRPr="00642952" w:rsidDel="008F0E23">
        <w:t xml:space="preserve"> </w:t>
      </w:r>
      <w:r w:rsidRPr="00642952">
        <w:t xml:space="preserve">stunning systems for the sector as </w:t>
      </w:r>
      <w:r w:rsidR="004D100A">
        <w:t xml:space="preserve">a </w:t>
      </w:r>
      <w:r w:rsidRPr="00642952">
        <w:t>whole. It then outlines demand</w:t>
      </w:r>
      <w:r w:rsidR="00C7253A" w:rsidRPr="00642952">
        <w:t>-</w:t>
      </w:r>
      <w:r w:rsidRPr="00642952">
        <w:t>side and trade implications. These effects are material to understanding the overall impact on the sector</w:t>
      </w:r>
      <w:r w:rsidR="000A7CDD" w:rsidRPr="00642952">
        <w:t>,</w:t>
      </w:r>
      <w:r w:rsidRPr="00642952">
        <w:t xml:space="preserve"> but </w:t>
      </w:r>
      <w:r w:rsidR="000A7CDD" w:rsidRPr="00642952">
        <w:t xml:space="preserve">they </w:t>
      </w:r>
      <w:r w:rsidRPr="00642952">
        <w:t>are not assigned to the notional plant because they depend on</w:t>
      </w:r>
      <w:r w:rsidRPr="00642952" w:rsidDel="008F0E23">
        <w:t xml:space="preserve"> </w:t>
      </w:r>
      <w:r w:rsidRPr="00642952">
        <w:t>interlinked factors across the sector.</w:t>
      </w:r>
    </w:p>
    <w:p w14:paraId="76BEB934" w14:textId="7BD0DA46" w:rsidR="006D2DEC" w:rsidRPr="00642952" w:rsidRDefault="00E11FEA" w:rsidP="00FA2CFA">
      <w:pPr>
        <w:pStyle w:val="Heading3"/>
      </w:pPr>
      <w:bookmarkStart w:id="33" w:name="_Toc216280665"/>
      <w:bookmarkStart w:id="34" w:name="_Toc224553246"/>
      <w:r w:rsidRPr="00642952">
        <w:t xml:space="preserve">5.1 </w:t>
      </w:r>
      <w:r w:rsidR="006D2DEC" w:rsidRPr="00642952">
        <w:t>Short-run disruptions</w:t>
      </w:r>
      <w:bookmarkEnd w:id="33"/>
      <w:bookmarkEnd w:id="34"/>
    </w:p>
    <w:p w14:paraId="437B571E" w14:textId="77777777" w:rsidR="00602E2A" w:rsidRDefault="006D2DEC" w:rsidP="006D2DEC">
      <w:r w:rsidRPr="00642952">
        <w:t>An important short-run disruption is the reduced, or paused, production during conversion works.</w:t>
      </w:r>
    </w:p>
    <w:p w14:paraId="3C14DD47" w14:textId="77777777" w:rsidR="00602E2A" w:rsidRDefault="006D2DEC" w:rsidP="006D2DEC">
      <w:r w:rsidRPr="00642952">
        <w:t>Estimates provided by stakeholders for the length of downtime required to convert to an argon stunning system ranged from a few weeks to over a year. The wide range is likely driven by site-specific factors. There was similar uncertainty over the downtime required for electrical stunning conversion, though several stakeholders felt that it would take at least as long, if not longer, than an argon conversion.</w:t>
      </w:r>
    </w:p>
    <w:p w14:paraId="0DD40065" w14:textId="5EB40AF2" w:rsidR="006D2DEC" w:rsidRPr="00642952" w:rsidRDefault="006D2DEC" w:rsidP="006D2DEC">
      <w:r w:rsidRPr="00642952">
        <w:t xml:space="preserve">Conversion work could be undertaken through staged interventions while production continues at a reduced rate, or via discrete shutdowns. The value of lost production during a conversion is not monetised in the model, though we note that some of those costs may be partially mitigated by buffers of inventory in cold storage that </w:t>
      </w:r>
      <w:r w:rsidRPr="00642952">
        <w:lastRenderedPageBreak/>
        <w:t xml:space="preserve">mean retailers and exporters can continue to receive product. However, cold storage does not address the supply-side constraint that pigs keep arriving. </w:t>
      </w:r>
    </w:p>
    <w:p w14:paraId="2A9E25F7" w14:textId="77777777" w:rsidR="00EC49F7" w:rsidRDefault="006D2DEC" w:rsidP="006D2DEC">
      <w:r w:rsidRPr="00642952">
        <w:t>If a site is partially or fully offline for an extended period, pigs will need to be diverted. The costs to the industry of a prolonged, staggered site-by-site conversion to alternative stunning systems could be substantial, assuming that cross-industry collaboration and retailer buy-in could be achieved. These costs are unlikely to be distributed evenly.</w:t>
      </w:r>
    </w:p>
    <w:p w14:paraId="650B4A12" w14:textId="433A3208" w:rsidR="00CA53EB" w:rsidRPr="00642952" w:rsidRDefault="006D2DEC" w:rsidP="006D2DEC">
      <w:r w:rsidRPr="00642952">
        <w:t>Diversion capacity is uneven across the country and inter-site distances vary, so some plants will face longer and more expensive haulage and tighter scheduling than others. Inspection coverage and labour availability will also constrain how much spare capacity can be mobilised at receiving sites. The sequencing of the staggered shutdowns could also have a significant impact on the distribution of transition costs. A site that shuts first bears the immediate loss of production while works are undertaken, but if it then returns with added capacity, it may be well placed to receive diverted pigs while others go offline. Sites that do not need to fully shut down will also be at an advantage.</w:t>
      </w:r>
    </w:p>
    <w:p w14:paraId="13CA29F8" w14:textId="77777777" w:rsidR="000E0E65" w:rsidRPr="00642952" w:rsidRDefault="000E0E65" w:rsidP="000E0E65">
      <w:r w:rsidRPr="00642952">
        <w:t xml:space="preserve">These are network effects rather than plant-specific effects. At the sector level, some of the short-run losses at one site are offset by gains at another that temporarily absorbs volume. At the plant level, however, the impact is asymmetric. Assigning a single monetary figure to a notional site would require an assumed sequence of shutdowns, a map of feasible diversion routes, and retailer permissions, none of which can be generalised credibly. For these reasons we discuss downtime and diversion qualitatively and do not monetise them at site level. Nonetheless, short-run disruption costs could be material in practice both for individual sites and the </w:t>
      </w:r>
      <w:proofErr w:type="gramStart"/>
      <w:r w:rsidRPr="00642952">
        <w:t>sector as a whole</w:t>
      </w:r>
      <w:proofErr w:type="gramEnd"/>
      <w:r w:rsidRPr="00642952">
        <w:t xml:space="preserve">. </w:t>
      </w:r>
    </w:p>
    <w:p w14:paraId="4DB8CE2F" w14:textId="77777777" w:rsidR="000E0E65" w:rsidRPr="00642952" w:rsidRDefault="000E0E65" w:rsidP="000E0E65">
      <w:r w:rsidRPr="00642952">
        <w:t>Stakeholders repeatedly stressed that transition logistics – in particular multi-week installation downtime, diversion of pigs to other sites and associated retailer and inspection constraints – are among the most material and least quantifiable risks in practice. For many respondents, these transition risks are as important as steady-state per-pig cost differentials when considering a move away from CO</w:t>
      </w:r>
      <w:r w:rsidRPr="00642952">
        <w:rPr>
          <w:rFonts w:ascii="Cambria Math" w:hAnsi="Cambria Math" w:cs="Cambria Math"/>
        </w:rPr>
        <w:t>₂</w:t>
      </w:r>
      <w:r w:rsidRPr="00642952">
        <w:t>.</w:t>
      </w:r>
    </w:p>
    <w:p w14:paraId="52F6CAD0" w14:textId="12159B4B" w:rsidR="00FB2C03" w:rsidRPr="00642952" w:rsidRDefault="00601FAD" w:rsidP="00FA2CFA">
      <w:pPr>
        <w:pStyle w:val="Heading3"/>
      </w:pPr>
      <w:bookmarkStart w:id="35" w:name="_Toc216280666"/>
      <w:bookmarkStart w:id="36" w:name="_Toc224553247"/>
      <w:r w:rsidRPr="00642952">
        <w:t xml:space="preserve">5.2 </w:t>
      </w:r>
      <w:r w:rsidR="00FB2C03" w:rsidRPr="00642952">
        <w:t>Long-run equilibrium supply impacts</w:t>
      </w:r>
      <w:bookmarkEnd w:id="35"/>
      <w:bookmarkEnd w:id="36"/>
    </w:p>
    <w:p w14:paraId="1A9F72B0" w14:textId="2B4E8EC0" w:rsidR="004C5544" w:rsidRDefault="00FB2C03" w:rsidP="00FB2C03">
      <w:r w:rsidRPr="00642952">
        <w:t xml:space="preserve">There are potential impacts on the steady-state equilibrium of the sector following a transition to argon stunning. As discussed in Section </w:t>
      </w:r>
      <w:r w:rsidRPr="00642952">
        <w:fldChar w:fldCharType="begin"/>
      </w:r>
      <w:r w:rsidRPr="00642952">
        <w:instrText xml:space="preserve"> REF _Ref211886932 \r \h </w:instrText>
      </w:r>
      <w:r w:rsidRPr="00642952">
        <w:fldChar w:fldCharType="separate"/>
      </w:r>
      <w:r w:rsidRPr="00642952">
        <w:t>2.2.3</w:t>
      </w:r>
      <w:r w:rsidRPr="00642952">
        <w:fldChar w:fldCharType="end"/>
      </w:r>
      <w:r w:rsidRPr="00642952">
        <w:t>, if sites add additional capacity in the form of a second stunning system, then the maximum capacity will be higher than in the baseline scenario (assuming argon systems run at 60</w:t>
      </w:r>
      <w:r w:rsidR="002B50E2" w:rsidRPr="00642952">
        <w:t>%</w:t>
      </w:r>
      <w:r w:rsidRPr="00642952">
        <w:t xml:space="preserve"> the speed of CO</w:t>
      </w:r>
      <w:r w:rsidRPr="00642952">
        <w:rPr>
          <w:vertAlign w:val="subscript"/>
        </w:rPr>
        <w:t xml:space="preserve">2 </w:t>
      </w:r>
      <w:r w:rsidRPr="00642952">
        <w:t>systems).</w:t>
      </w:r>
    </w:p>
    <w:p w14:paraId="60CF684D" w14:textId="18B8CF85" w:rsidR="00FB2C03" w:rsidRPr="00642952" w:rsidRDefault="00FB2C03" w:rsidP="00FB2C03">
      <w:r w:rsidRPr="00642952">
        <w:t>In the short run, it may not be feasible for sites to fully utilise the additional capacity if additional pig supply is not available. In the long</w:t>
      </w:r>
      <w:r w:rsidR="00E356A4" w:rsidRPr="00642952">
        <w:t xml:space="preserve"> </w:t>
      </w:r>
      <w:r w:rsidRPr="00642952">
        <w:t>run, it is less likely that sites will run significantly below maximum capacity – under standard economic conditions</w:t>
      </w:r>
      <w:r w:rsidR="00CC08E6" w:rsidRPr="00642952">
        <w:t>,</w:t>
      </w:r>
      <w:r w:rsidRPr="00642952">
        <w:t xml:space="preserve"> firms would be expected to realise scale efficiencies to reduce marginal costs. </w:t>
      </w:r>
    </w:p>
    <w:p w14:paraId="5B06F67B" w14:textId="77777777" w:rsidR="00CC0149" w:rsidRDefault="00FB2C03" w:rsidP="00FB2C03">
      <w:r w:rsidRPr="00642952">
        <w:t>Under the argon scenario with added capacity, the capital annuity, elements of maintenance, supervision and certain overheads are spread over more pigs as utilisation rises, lowering £/pig relative to the same configuration run at lower throughput. If farm-level supply responds to higher processing capacity, total UK pig numbers rise.</w:t>
      </w:r>
    </w:p>
    <w:p w14:paraId="6A8056C7" w14:textId="77777777" w:rsidR="00ED0994" w:rsidRDefault="00FB2C03" w:rsidP="00FB2C03">
      <w:r w:rsidRPr="00642952">
        <w:t>If the number of pigs available does not increase materially, additional plant capacity becomes excess capacity. Competition for pigs could intensify and the minimum efficient scale may rise, meaning fewer plants operating closer to full capacity becomes the cost-minimising configuration. The result would be a consolidation of UK processing sites even if the industry-wide maximum capacity rises.</w:t>
      </w:r>
    </w:p>
    <w:p w14:paraId="090AFC41" w14:textId="04FDEE1F" w:rsidR="000E0E65" w:rsidRPr="00642952" w:rsidRDefault="00FB2C03" w:rsidP="00FB2C03">
      <w:r w:rsidRPr="00642952">
        <w:t xml:space="preserve">The impact on the long-term equilibrium depends on pass-through to retail prices, substitution on the demand side, import competition and farm responses. It may also depend on the transition impacts discussed above. If sequencing effects and downtime differences create winners and losers, early completers with added capacity could capture diverted pigs and retailer contracts while others are offline. Alternatively, processors with spare capacity could </w:t>
      </w:r>
      <w:proofErr w:type="gramStart"/>
      <w:r w:rsidRPr="00642952">
        <w:t>enter into</w:t>
      </w:r>
      <w:proofErr w:type="gramEnd"/>
      <w:r w:rsidRPr="00642952">
        <w:t xml:space="preserve"> arrangements with plants undergoing conversion to kill and cut diverted pigs on their behalf and return primal joints, allowing the converting plant to continue supplying its existing customers.</w:t>
      </w:r>
    </w:p>
    <w:p w14:paraId="492EB0B6" w14:textId="77777777" w:rsidR="00E2154D" w:rsidRPr="00642952" w:rsidRDefault="00E2154D" w:rsidP="00E2154D">
      <w:r w:rsidRPr="00642952">
        <w:lastRenderedPageBreak/>
        <w:t>The same logic applies, with adjustments, to other configurations. Argon without added capacity is unlikely to be a stable long-run position if extended hours are constrained; over time a plant would either add capacity or cede volume to sites that can maintain weekly kills. Electrical stunning can be configured with parallel stunners to restore throughput; if that involves larger capital envelopes, the minimum efficient scale effect may again encourage volume concentration at plants able to finance and integrate the upgrade.</w:t>
      </w:r>
    </w:p>
    <w:p w14:paraId="0A9CD9E8" w14:textId="1CA4D5B5" w:rsidR="00D31DAA" w:rsidRDefault="00E2154D" w:rsidP="00E2154D">
      <w:r w:rsidRPr="00642952">
        <w:t>We do not quantify these equilibrium effects for a notional plant. Doing so would require a sector model of pig supply elasticities, retail and export demand elasticities by product, import responses, regional haulage costs and explicit assumptions on the sequence and timing of conversions. Those factors are outside the scope of this study.</w:t>
      </w:r>
    </w:p>
    <w:p w14:paraId="1F3E04DF" w14:textId="30D8DCD6" w:rsidR="00E2154D" w:rsidRPr="00642952" w:rsidRDefault="00E2154D" w:rsidP="00E2154D">
      <w:r w:rsidRPr="00642952">
        <w:t>The qualitative conclusion is that a shift to alternatives that rely on higher capital and, for argon, lower per-line speed is likely to increase the importance of utilisation and scale, with plausible outcomes ranging from no structural change (if supply expands and all sites adopt similar configurations) to fewer, larger plants operating at higher utilisation (if supply is fixed and volumes concentrate at the most efficient converted sites).</w:t>
      </w:r>
    </w:p>
    <w:p w14:paraId="62FF8852" w14:textId="37C29F27" w:rsidR="00AF3DE4" w:rsidRPr="00642952" w:rsidRDefault="004854D9" w:rsidP="00FA2CFA">
      <w:pPr>
        <w:pStyle w:val="Heading3"/>
      </w:pPr>
      <w:bookmarkStart w:id="37" w:name="_Toc216280667"/>
      <w:bookmarkStart w:id="38" w:name="_Toc224553248"/>
      <w:r w:rsidRPr="00642952">
        <w:t xml:space="preserve">5.3 </w:t>
      </w:r>
      <w:r w:rsidR="00AF3DE4" w:rsidRPr="00642952">
        <w:t>Demand</w:t>
      </w:r>
      <w:r w:rsidR="00AF3DE4" w:rsidRPr="00642952">
        <w:noBreakHyphen/>
        <w:t>side impacts</w:t>
      </w:r>
      <w:bookmarkEnd w:id="37"/>
      <w:bookmarkEnd w:id="38"/>
    </w:p>
    <w:p w14:paraId="001D9393" w14:textId="77777777" w:rsidR="00AF3DE4" w:rsidRPr="00642952" w:rsidRDefault="00AF3DE4" w:rsidP="00AF3DE4">
      <w:r w:rsidRPr="00642952">
        <w:t>The increased per-pig production costs outlined in the model results section have an obvious commercial implication – the marginal cost of UK pork increases. The increased cost is likely to ultimately be passed through to consumers in the form of higher prices for UK pork products, though pass</w:t>
      </w:r>
      <w:r w:rsidRPr="00642952">
        <w:noBreakHyphen/>
        <w:t>through rates will be uneven and depends on price elasticities of different pork products. Pork is typically positioned as a value protein in the UK, competing on price against poultry and sitting below beef and lamb. An increase in pork prices risks substitution away from UK pork towards alternative cheap proteins.</w:t>
      </w:r>
    </w:p>
    <w:p w14:paraId="278DB956" w14:textId="75C552CC" w:rsidR="00DB11D0" w:rsidRDefault="00AF3DE4" w:rsidP="00AF3DE4">
      <w:r w:rsidRPr="00642952">
        <w:t>UK pork also competes with pork imports. Most UK pork imports come from EU</w:t>
      </w:r>
      <w:r w:rsidRPr="00642952">
        <w:noBreakHyphen/>
        <w:t>27 plants, so relative demand depends on whether EU suppliers remain on CO</w:t>
      </w:r>
      <w:r w:rsidRPr="00642952">
        <w:rPr>
          <w:rFonts w:ascii="Cambria Math" w:hAnsi="Cambria Math" w:cs="Cambria Math"/>
        </w:rPr>
        <w:t>₂</w:t>
      </w:r>
      <w:r w:rsidRPr="00642952">
        <w:t xml:space="preserve"> or transition to higher unit-cost alternatives. If EU suppliers do not transition, UK producers will face a cost differential against imported CO</w:t>
      </w:r>
      <w:r w:rsidRPr="00642952">
        <w:rPr>
          <w:rFonts w:ascii="Cambria Math" w:hAnsi="Cambria Math" w:cs="Cambria Math"/>
        </w:rPr>
        <w:t>₂</w:t>
      </w:r>
      <w:r w:rsidRPr="00642952">
        <w:t xml:space="preserve"> product and pass-through may be restricted (because imports discipline UK prices).</w:t>
      </w:r>
    </w:p>
    <w:p w14:paraId="09B32375" w14:textId="48F62F9F" w:rsidR="00AF3DE4" w:rsidRPr="00642952" w:rsidRDefault="00AF3DE4" w:rsidP="00AF3DE4">
      <w:r w:rsidRPr="00642952">
        <w:t>If EU suppliers do switch to a CO</w:t>
      </w:r>
      <w:r w:rsidRPr="00642952">
        <w:rPr>
          <w:vertAlign w:val="subscript"/>
        </w:rPr>
        <w:t xml:space="preserve">2 </w:t>
      </w:r>
      <w:r w:rsidRPr="00642952">
        <w:t>alternative, UK processors will be foregoing a potential commercial advantage by switching as well. However, the demand effects also depend on consumers’ willingness to pay for UK-origin pork. Again, this may vary by product. It is possible willingness to pay for UK pork is higher for premium pork products, for example, while budget products are more exposed to substitution. Effects will therefore be uneven across consumers and products, and there is no single pass-through rate that can be credibly applied across the category.</w:t>
      </w:r>
    </w:p>
    <w:p w14:paraId="3863E3B2" w14:textId="77777777" w:rsidR="00AF3DE4" w:rsidRPr="00642952" w:rsidRDefault="00AF3DE4" w:rsidP="00AF3DE4">
      <w:r w:rsidRPr="00642952">
        <w:t>Industry stakeholders stressed that UK processors already face significant competition from imports and that UK production accounts for only part of domestic pork consumption. Several respondents expressed concern that a unilateral or faster UK transition away from CO</w:t>
      </w:r>
      <w:r w:rsidRPr="00642952">
        <w:rPr>
          <w:rFonts w:ascii="Cambria Math" w:hAnsi="Cambria Math" w:cs="Cambria Math"/>
        </w:rPr>
        <w:t>₂</w:t>
      </w:r>
      <w:r w:rsidRPr="00642952">
        <w:t xml:space="preserve"> than that undertaken in competing countries could raise domestic processing costs relative to imported product if overseas plants continue to use lower-cost CO</w:t>
      </w:r>
      <w:r w:rsidRPr="00642952">
        <w:rPr>
          <w:rFonts w:ascii="Cambria Math" w:hAnsi="Cambria Math" w:cs="Cambria Math"/>
        </w:rPr>
        <w:t>₂</w:t>
      </w:r>
      <w:r w:rsidRPr="00642952">
        <w:t xml:space="preserve"> systems. </w:t>
      </w:r>
    </w:p>
    <w:p w14:paraId="23F2383C" w14:textId="77777777" w:rsidR="00A362D4" w:rsidRPr="00642952" w:rsidRDefault="00A362D4" w:rsidP="00A362D4">
      <w:r w:rsidRPr="00642952">
        <w:t xml:space="preserve">There are also potential impacts to exports of UK pork products, including exports of offal and other fifth-quarter products. Increases in the unit costs for pig production will have demand implications in export markets. In addition, there may be a risk that an alternative method is not approved by specific import markets, or that updated listings and documentation are required before shipments from converted lines are accepted. </w:t>
      </w:r>
    </w:p>
    <w:p w14:paraId="39B45A91" w14:textId="77777777" w:rsidR="00DB11D0" w:rsidRDefault="00A362D4" w:rsidP="00A362D4">
      <w:r w:rsidRPr="00642952">
        <w:t xml:space="preserve">Retailer acceptance is also a key commercial risk of converting to an alternative stunning system. Diverting pigs to alternative sites during a conversion is likely to require retailer consent because contracted animals are tied to approved sites. Furthermore, it is not clear if retailers would be willing to accept pork products produced by an argon stunning system or an electrical stunning system. </w:t>
      </w:r>
    </w:p>
    <w:p w14:paraId="1E641CE8" w14:textId="027410C7" w:rsidR="00A362D4" w:rsidRPr="00642952" w:rsidRDefault="00A362D4" w:rsidP="00A362D4">
      <w:r w:rsidRPr="00642952">
        <w:t>Technical teams may require evidence that product quality, welfare outcomes and specifications are at least equivalent to current CO</w:t>
      </w:r>
      <w:r w:rsidRPr="004D100A">
        <w:rPr>
          <w:vertAlign w:val="subscript"/>
        </w:rPr>
        <w:t>2</w:t>
      </w:r>
      <w:r w:rsidRPr="00642952">
        <w:t xml:space="preserve"> practice, alongside site and line approvals, updated codes and labels, and demonstrable traceability. Some buyers may seek independent audit before listing product from converted lines. </w:t>
      </w:r>
      <w:r w:rsidRPr="00642952">
        <w:lastRenderedPageBreak/>
        <w:t>These processes affect timing and feasibility and create additional administrative and assurance costs that are not captured in the model.</w:t>
      </w:r>
    </w:p>
    <w:p w14:paraId="25ABD271" w14:textId="01B5B239" w:rsidR="009B4E31" w:rsidRPr="00642952" w:rsidRDefault="00A362D4" w:rsidP="00A362D4">
      <w:r w:rsidRPr="00642952">
        <w:t>Another commercial impact relates to meat quality. Issues with meat quality have direct economic consequences for the industry. PigStun found that the improved electrical stunning system led to higher blood spotting rates than CO</w:t>
      </w:r>
      <w:r w:rsidRPr="00642952">
        <w:rPr>
          <w:vertAlign w:val="subscript"/>
        </w:rPr>
        <w:t>2</w:t>
      </w:r>
      <w:r w:rsidRPr="00642952">
        <w:t>. An increase in blood spotting rates will decrease the per-pig yield for the industry, as more products will require trimming, or will be downgraded in quality, increasing wastage. Argon systems did not perform any better or worse than CO</w:t>
      </w:r>
      <w:r w:rsidRPr="00642952">
        <w:rPr>
          <w:vertAlign w:val="subscript"/>
        </w:rPr>
        <w:t xml:space="preserve">2 </w:t>
      </w:r>
      <w:proofErr w:type="gramStart"/>
      <w:r w:rsidRPr="00642952">
        <w:t>in regard to</w:t>
      </w:r>
      <w:proofErr w:type="gramEnd"/>
      <w:r w:rsidRPr="00642952">
        <w:t xml:space="preserve"> meat quality in the PigStun study.</w:t>
      </w:r>
    </w:p>
    <w:p w14:paraId="35BC4BD2" w14:textId="26CEC0BC" w:rsidR="00EF24E9" w:rsidRPr="00642952" w:rsidRDefault="00E52CC1" w:rsidP="00FA2CFA">
      <w:pPr>
        <w:pStyle w:val="Heading3"/>
      </w:pPr>
      <w:bookmarkStart w:id="39" w:name="_Toc216280668"/>
      <w:bookmarkStart w:id="40" w:name="_Toc224553249"/>
      <w:r w:rsidRPr="00642952">
        <w:t xml:space="preserve">5.4 </w:t>
      </w:r>
      <w:r w:rsidR="00EF24E9" w:rsidRPr="00642952">
        <w:t>Other impacts</w:t>
      </w:r>
      <w:bookmarkEnd w:id="39"/>
      <w:bookmarkEnd w:id="40"/>
    </w:p>
    <w:p w14:paraId="13B57927" w14:textId="77777777" w:rsidR="00EF24E9" w:rsidRPr="00642952" w:rsidRDefault="00EF24E9" w:rsidP="00FA2CFA">
      <w:pPr>
        <w:pStyle w:val="Heading4"/>
      </w:pPr>
      <w:r w:rsidRPr="00642952">
        <w:t>Environmental impacts</w:t>
      </w:r>
    </w:p>
    <w:p w14:paraId="486FC564" w14:textId="77777777" w:rsidR="005D04A6" w:rsidRDefault="002978DD" w:rsidP="008832B0">
      <w:r w:rsidRPr="00642952">
        <w:t>The environmental comparison between CO</w:t>
      </w:r>
      <w:r w:rsidRPr="00642952">
        <w:rPr>
          <w:rFonts w:ascii="Cambria Math" w:hAnsi="Cambria Math" w:cs="Cambria Math"/>
        </w:rPr>
        <w:t>₂</w:t>
      </w:r>
      <w:r w:rsidRPr="00642952">
        <w:t xml:space="preserve"> and argon stunning involves several trade-offs that require full life</w:t>
      </w:r>
      <w:r w:rsidR="002C1AD0" w:rsidRPr="00642952">
        <w:t xml:space="preserve"> </w:t>
      </w:r>
      <w:r w:rsidRPr="00642952">
        <w:t xml:space="preserve">cycle assessment, which was outside the scope of this project. </w:t>
      </w:r>
    </w:p>
    <w:p w14:paraId="5749F2EE" w14:textId="2E0663BB" w:rsidR="005D04A6" w:rsidRDefault="002978DD" w:rsidP="008832B0">
      <w:r w:rsidRPr="00642952">
        <w:t>CO</w:t>
      </w:r>
      <w:r w:rsidRPr="00642952">
        <w:rPr>
          <w:rFonts w:ascii="Cambria Math" w:hAnsi="Cambria Math" w:cs="Cambria Math"/>
        </w:rPr>
        <w:t>₂</w:t>
      </w:r>
      <w:r w:rsidRPr="00642952">
        <w:t xml:space="preserve"> used for stunning is typically a by-product of other industrial processes and therefore has relatively low upstream impacts, although its release at the point of use contributes directly to greenhouse gas emissions. Argon avoids these direct emissions but has a more energy-intensive production process, along with additional electricity use, transport requirements and potential infrastructure changes.</w:t>
      </w:r>
    </w:p>
    <w:p w14:paraId="61471C7D" w14:textId="77777777" w:rsidR="00DB11D0" w:rsidRDefault="005D04A6" w:rsidP="008832B0">
      <w:r>
        <w:t>I</w:t>
      </w:r>
      <w:r w:rsidR="002978DD" w:rsidRPr="00642952">
        <w:t>n many cases, accommodating a new stunning system would require physical expansion or modification of processing facilities, involving the use of carbon-intensive materials such as concrete and steel, whereas retaining existing systems would avoid these additional impacts.</w:t>
      </w:r>
    </w:p>
    <w:p w14:paraId="686713A5" w14:textId="462CCE15" w:rsidR="00B63D62" w:rsidRPr="00642952" w:rsidRDefault="002978DD" w:rsidP="008832B0">
      <w:pPr>
        <w:rPr>
          <w:b/>
          <w:bCs/>
          <w:color w:val="EE0000"/>
        </w:rPr>
      </w:pPr>
      <w:r w:rsidRPr="00642952">
        <w:t>Given these opposing factors and recognising that other alternative systems, including electrical stunning, may also have different energy and infrastructure requirements, the overall environmental impact cannot be reliably determined without a comprehensive review of gas production, distribution, energy use and system design at an individual site level.</w:t>
      </w:r>
    </w:p>
    <w:p w14:paraId="63A93D29" w14:textId="2A4306C2" w:rsidR="008832B0" w:rsidRPr="00642952" w:rsidRDefault="008832B0" w:rsidP="00FA2CFA">
      <w:pPr>
        <w:pStyle w:val="Heading4"/>
      </w:pPr>
      <w:r w:rsidRPr="00642952">
        <w:t>Gas supply</w:t>
      </w:r>
    </w:p>
    <w:p w14:paraId="1521774F" w14:textId="3FEACA9B" w:rsidR="009C5082" w:rsidRDefault="008832B0" w:rsidP="008832B0">
      <w:r w:rsidRPr="00642952">
        <w:t xml:space="preserve">An additional operational consideration is the continuity of supply for gases. Both </w:t>
      </w:r>
      <w:r w:rsidR="00362D27" w:rsidRPr="00642952">
        <w:t>CO</w:t>
      </w:r>
      <w:r w:rsidR="00362D27" w:rsidRPr="00642952">
        <w:rPr>
          <w:rFonts w:ascii="Cambria Math" w:hAnsi="Cambria Math" w:cs="Cambria Math"/>
        </w:rPr>
        <w:t xml:space="preserve">₂ </w:t>
      </w:r>
      <w:r w:rsidRPr="00642952">
        <w:t>and argon systems depend on reliable deliveries of the respective gases, and fluctuations in the price of either gas is an important cost driver.</w:t>
      </w:r>
    </w:p>
    <w:p w14:paraId="3EF69E6E" w14:textId="77777777" w:rsidR="009C5082" w:rsidRDefault="008832B0" w:rsidP="008832B0">
      <w:r w:rsidRPr="00642952">
        <w:t>Stakeholders highlighted uncertainties over the availability and pricing of argon at the volumes required for a sector-wide transition, particularly if continental processors were to also switch to argon and thus compete for the same supply.</w:t>
      </w:r>
    </w:p>
    <w:p w14:paraId="6E9C39E7" w14:textId="072C0634" w:rsidR="008832B0" w:rsidRPr="00642952" w:rsidRDefault="008832B0" w:rsidP="008832B0">
      <w:r w:rsidRPr="00642952">
        <w:t xml:space="preserve">At this stage, the study has not investigated the current supply capacity of argon or the degree of price fluctuation. </w:t>
      </w:r>
    </w:p>
    <w:p w14:paraId="7A663991" w14:textId="77777777" w:rsidR="008832B0" w:rsidRPr="00642952" w:rsidRDefault="008832B0" w:rsidP="00FA2CFA">
      <w:pPr>
        <w:pStyle w:val="Heading4"/>
      </w:pPr>
      <w:r w:rsidRPr="00642952">
        <w:t>Welfare</w:t>
      </w:r>
    </w:p>
    <w:p w14:paraId="3B325D86" w14:textId="6768B6E9" w:rsidR="009C5082" w:rsidRDefault="008832B0" w:rsidP="008832B0">
      <w:r w:rsidRPr="00642952">
        <w:t>The recent Animal Welfare Committee</w:t>
      </w:r>
      <w:r w:rsidR="009D36F8">
        <w:t xml:space="preserve"> (AWC)</w:t>
      </w:r>
      <w:r w:rsidRPr="00642952">
        <w:t>, drawing on the findings of PigStun, concludes that high-concentration CO</w:t>
      </w:r>
      <w:r w:rsidRPr="00642952">
        <w:rPr>
          <w:rFonts w:ascii="Cambria Math" w:hAnsi="Cambria Math" w:cs="Cambria Math"/>
        </w:rPr>
        <w:t>₂</w:t>
      </w:r>
      <w:r w:rsidRPr="00642952">
        <w:t xml:space="preserve"> stunning causes </w:t>
      </w:r>
      <w:proofErr w:type="gramStart"/>
      <w:r w:rsidRPr="00642952">
        <w:t>pigs</w:t>
      </w:r>
      <w:proofErr w:type="gramEnd"/>
      <w:r w:rsidRPr="00642952">
        <w:t xml:space="preserve"> pain, respiratory distress and is aversive before loss of consciousness, evidenced by vocalisation, gasping and escape attempts, and reiterates earlier recommendations that its use be phased out.</w:t>
      </w:r>
    </w:p>
    <w:p w14:paraId="3EBB6A2F" w14:textId="4BC7631E" w:rsidR="008832B0" w:rsidRPr="00642952" w:rsidRDefault="008832B0" w:rsidP="008832B0">
      <w:r w:rsidRPr="00642952">
        <w:t>Inert gases such as argon are assessed as significantly less aversive than CO</w:t>
      </w:r>
      <w:r w:rsidRPr="00642952">
        <w:rPr>
          <w:rFonts w:ascii="Cambria Math" w:hAnsi="Cambria Math" w:cs="Cambria Math"/>
        </w:rPr>
        <w:t>₂</w:t>
      </w:r>
      <w:r w:rsidRPr="00642952">
        <w:t>, though effective welfare depends on very low residual oxygen and adequate dwell times. Dwell time must be sufficient to ensure a non-recovery state, as required in Great Britain.</w:t>
      </w:r>
    </w:p>
    <w:p w14:paraId="5317B06B" w14:textId="77777777" w:rsidR="00485D00" w:rsidRDefault="00DE5972" w:rsidP="00DE5972">
      <w:r w:rsidRPr="00642952">
        <w:t xml:space="preserve">Electrical stunning, when correctly applied, induces near-instantaneous unconsciousness, but it requires pigs to move in single file and to be individually restrained or positioned for electrode contact. The AWC notes these </w:t>
      </w:r>
      <w:r w:rsidRPr="00642952">
        <w:lastRenderedPageBreak/>
        <w:t xml:space="preserve">handling requirements can themselves be stressful and may necessitate movement aids, creating additional welfare risks. </w:t>
      </w:r>
    </w:p>
    <w:p w14:paraId="22F37C55" w14:textId="373DFB36" w:rsidR="00DB11D0" w:rsidRDefault="00DE5972" w:rsidP="00DE5972">
      <w:r w:rsidRPr="00642952">
        <w:t xml:space="preserve">PigStun “improved electrical stunning” </w:t>
      </w:r>
      <w:r w:rsidR="00733EE1" w:rsidRPr="00642952">
        <w:t xml:space="preserve">and </w:t>
      </w:r>
      <w:r w:rsidRPr="00642952">
        <w:t xml:space="preserve">implemented design changes to address handling issues but still found reluctance to enter the stunner remained common. Around half of pigs still required encouragement with a brush and approximately </w:t>
      </w:r>
      <w:r w:rsidR="00B03DD2" w:rsidRPr="00642952">
        <w:t>4%</w:t>
      </w:r>
      <w:r w:rsidRPr="00642952">
        <w:t xml:space="preserve"> required a low-voltage electric prod to step into the stunner. </w:t>
      </w:r>
    </w:p>
    <w:p w14:paraId="50B1A829" w14:textId="1B122A75" w:rsidR="00485D00" w:rsidRDefault="00DE5972" w:rsidP="00DE5972">
      <w:r w:rsidRPr="00642952">
        <w:t>The AWC report finds electrical stunning systems that provide a near-immediate stun could present welfare advantages over gas stunning, if pre-slaughter handling minimises stress. The report recommends that that pre-slaughter handling should be such that each animal is encouraged to move through the system without the need for physical coercion or the use of electric goads.</w:t>
      </w:r>
    </w:p>
    <w:p w14:paraId="29985FEA" w14:textId="58D078A8" w:rsidR="00DE5972" w:rsidRPr="00642952" w:rsidRDefault="00DE5972" w:rsidP="00DE5972">
      <w:r w:rsidRPr="00642952">
        <w:t>In our interviews, some stakeholders stated that it is improbable to expect that an electrical stunning system could operate without the use of physical coercion. They stated that, in their experience, maintaining high throughputs with electrical systems in commercial conditions would be difficult without some use of movement aids, including low-voltage prods, despite regulatory and welfare guidance seeking to minimise or eliminate such tools. This tension between practical handling and best-practice recommendations was cited as a welfare concern.</w:t>
      </w:r>
    </w:p>
    <w:p w14:paraId="0D52A1AD" w14:textId="77777777" w:rsidR="00916B13" w:rsidRDefault="00DE5972" w:rsidP="00DE5972">
      <w:r w:rsidRPr="00642952">
        <w:t>Industry stakeholders emphasised that pigs experience slaughter as a continuous process from lairage through handling, restraint, stunning and bleeding, and argued that current CO</w:t>
      </w:r>
      <w:r w:rsidRPr="00642952">
        <w:rPr>
          <w:rFonts w:ascii="Cambria Math" w:hAnsi="Cambria Math" w:cs="Cambria Math"/>
        </w:rPr>
        <w:t>₂</w:t>
      </w:r>
      <w:r w:rsidRPr="00642952">
        <w:t xml:space="preserve"> systems mitigate some of the most significant handling stresses by allowing pigs to move in small social groups with minimal individual restraint.</w:t>
      </w:r>
    </w:p>
    <w:p w14:paraId="5A1F46D2" w14:textId="14B8B709" w:rsidR="00F71455" w:rsidRDefault="00DE5972" w:rsidP="00DE5972">
      <w:r w:rsidRPr="00642952">
        <w:t>In their view, single-file movement and individual restraint required for electrical systems introduce additional welfare risks at commercial pace, even if loss of consciousness is rapid once electrodes are applied. Several respondents expressed concern that replacing CO</w:t>
      </w:r>
      <w:r w:rsidRPr="00642952">
        <w:rPr>
          <w:rFonts w:ascii="Cambria Math" w:hAnsi="Cambria Math" w:cs="Cambria Math"/>
        </w:rPr>
        <w:t>₂</w:t>
      </w:r>
      <w:r w:rsidRPr="00642952">
        <w:t xml:space="preserve"> with alternatives that have not been demonstrated at UK commercial scale could, in practice, lead to greater variability in outcomes and higher handling-related stress, unless systems are carefully designed and well resourced.</w:t>
      </w:r>
    </w:p>
    <w:p w14:paraId="632BC35F" w14:textId="77777777" w:rsidR="00397600" w:rsidRDefault="00397600" w:rsidP="00DE5972"/>
    <w:p w14:paraId="34B2DE4D" w14:textId="77777777" w:rsidR="00397600" w:rsidRDefault="00397600" w:rsidP="00DE5972"/>
    <w:p w14:paraId="7678C8BA" w14:textId="77777777" w:rsidR="00397600" w:rsidRDefault="00397600" w:rsidP="00DE5972"/>
    <w:p w14:paraId="47480031" w14:textId="77777777" w:rsidR="00397600" w:rsidRDefault="00397600" w:rsidP="00DE5972"/>
    <w:p w14:paraId="18B6EC99" w14:textId="77777777" w:rsidR="00397600" w:rsidRDefault="00397600" w:rsidP="00DE5972"/>
    <w:p w14:paraId="73C98256" w14:textId="77777777" w:rsidR="00397600" w:rsidRDefault="00397600" w:rsidP="00DE5972"/>
    <w:p w14:paraId="58E743F2" w14:textId="77777777" w:rsidR="00397600" w:rsidRDefault="00397600" w:rsidP="00DE5972"/>
    <w:p w14:paraId="76AA51BC" w14:textId="77777777" w:rsidR="00397600" w:rsidRDefault="00397600" w:rsidP="00DE5972"/>
    <w:p w14:paraId="74483996" w14:textId="77777777" w:rsidR="00397600" w:rsidRDefault="00397600" w:rsidP="00DE5972"/>
    <w:p w14:paraId="6EE39332" w14:textId="77777777" w:rsidR="00397600" w:rsidRDefault="00397600" w:rsidP="00DE5972"/>
    <w:p w14:paraId="6FB194EC" w14:textId="77777777" w:rsidR="00397600" w:rsidRDefault="00397600" w:rsidP="00DE5972"/>
    <w:p w14:paraId="601A1E9E" w14:textId="77777777" w:rsidR="00397600" w:rsidRDefault="00397600" w:rsidP="00DE5972"/>
    <w:p w14:paraId="76FFD0D0" w14:textId="77777777" w:rsidR="00397600" w:rsidRDefault="00397600" w:rsidP="00DE5972"/>
    <w:p w14:paraId="0C3C53DC" w14:textId="77777777" w:rsidR="00397600" w:rsidRPr="00642952" w:rsidRDefault="00397600" w:rsidP="00DE5972"/>
    <w:p w14:paraId="050160F9" w14:textId="68BF44F0" w:rsidR="00D936BB" w:rsidRPr="00642952" w:rsidRDefault="00392F11" w:rsidP="00D936BB">
      <w:pPr>
        <w:pStyle w:val="Heading2"/>
      </w:pPr>
      <w:bookmarkStart w:id="41" w:name="_Toc224553250"/>
      <w:r w:rsidRPr="00642952">
        <w:lastRenderedPageBreak/>
        <w:t>6</w:t>
      </w:r>
      <w:r w:rsidR="00D936BB" w:rsidRPr="00642952">
        <w:t xml:space="preserve"> </w:t>
      </w:r>
      <w:r w:rsidR="009D3A45" w:rsidRPr="00642952">
        <w:t>Conclusions</w:t>
      </w:r>
      <w:bookmarkEnd w:id="41"/>
    </w:p>
    <w:p w14:paraId="6BC9953E" w14:textId="77777777" w:rsidR="009F5A3B" w:rsidRDefault="00392F11" w:rsidP="00392F11">
      <w:r w:rsidRPr="00642952">
        <w:t>This study set</w:t>
      </w:r>
      <w:r w:rsidR="005B28CF">
        <w:t>s</w:t>
      </w:r>
      <w:r w:rsidRPr="00642952">
        <w:t xml:space="preserve"> out the per-pig cost implications of switching from high-concentration CO</w:t>
      </w:r>
      <w:r w:rsidRPr="00642952">
        <w:rPr>
          <w:rFonts w:ascii="Cambria Math" w:hAnsi="Cambria Math" w:cs="Cambria Math"/>
        </w:rPr>
        <w:t>₂</w:t>
      </w:r>
      <w:r w:rsidRPr="00642952">
        <w:t xml:space="preserve"> to alternative stunning systems in a notional UK plant. </w:t>
      </w:r>
    </w:p>
    <w:p w14:paraId="669F7FB3" w14:textId="3413CAF1" w:rsidR="00392F11" w:rsidRDefault="00392F11" w:rsidP="00392F11">
      <w:r w:rsidRPr="00642952">
        <w:t>Using UK stakeholder evidence to anchor operating realities and literature to set technical ranges, we compared argon-based</w:t>
      </w:r>
      <w:r w:rsidR="00D45AC6" w:rsidRPr="00642952">
        <w:t>,</w:t>
      </w:r>
      <w:r w:rsidRPr="00642952">
        <w:t xml:space="preserve"> controlled-atmosphere options and electrical stunning against a CO</w:t>
      </w:r>
      <w:r w:rsidRPr="00642952">
        <w:rPr>
          <w:rFonts w:ascii="Cambria Math" w:hAnsi="Cambria Math" w:cs="Cambria Math"/>
        </w:rPr>
        <w:t>₂</w:t>
      </w:r>
      <w:r w:rsidRPr="00642952">
        <w:t xml:space="preserve"> baseline cost.</w:t>
      </w:r>
    </w:p>
    <w:p w14:paraId="1ED24A0D" w14:textId="77777777" w:rsidR="00397600" w:rsidRDefault="00397600" w:rsidP="00397600">
      <w:pPr>
        <w:rPr>
          <w:b/>
          <w:bCs/>
        </w:rPr>
      </w:pPr>
    </w:p>
    <w:p w14:paraId="3E93175B" w14:textId="75E2F4B2" w:rsidR="00397600" w:rsidRDefault="00397600" w:rsidP="00397600">
      <w:pPr>
        <w:rPr>
          <w:b/>
          <w:bCs/>
        </w:rPr>
      </w:pPr>
      <w:r w:rsidRPr="00642952">
        <w:rPr>
          <w:b/>
          <w:bCs/>
        </w:rPr>
        <w:t xml:space="preserve">Figure </w:t>
      </w:r>
      <w:r w:rsidRPr="00642952">
        <w:rPr>
          <w:b/>
          <w:bCs/>
        </w:rPr>
        <w:fldChar w:fldCharType="begin"/>
      </w:r>
      <w:r w:rsidRPr="00642952">
        <w:rPr>
          <w:b/>
          <w:bCs/>
        </w:rPr>
        <w:instrText>STYLEREF 1 \s</w:instrText>
      </w:r>
      <w:r w:rsidRPr="00642952">
        <w:rPr>
          <w:b/>
          <w:bCs/>
        </w:rPr>
        <w:fldChar w:fldCharType="separate"/>
      </w:r>
      <w:r w:rsidRPr="00642952">
        <w:rPr>
          <w:b/>
          <w:bCs/>
        </w:rPr>
        <w:t>6</w:t>
      </w:r>
      <w:r w:rsidRPr="00642952">
        <w:fldChar w:fldCharType="end"/>
      </w:r>
      <w:r w:rsidRPr="00642952">
        <w:rPr>
          <w:b/>
          <w:bCs/>
        </w:rPr>
        <w:t>.</w:t>
      </w:r>
      <w:r w:rsidRPr="00642952">
        <w:rPr>
          <w:b/>
          <w:bCs/>
        </w:rPr>
        <w:fldChar w:fldCharType="begin"/>
      </w:r>
      <w:r w:rsidRPr="00642952">
        <w:rPr>
          <w:b/>
          <w:bCs/>
        </w:rPr>
        <w:instrText>SEQ Figure \* ARABIC \s 1</w:instrText>
      </w:r>
      <w:r w:rsidRPr="00642952">
        <w:rPr>
          <w:b/>
          <w:bCs/>
        </w:rPr>
        <w:fldChar w:fldCharType="separate"/>
      </w:r>
      <w:r w:rsidRPr="00642952">
        <w:rPr>
          <w:b/>
          <w:bCs/>
        </w:rPr>
        <w:t>1</w:t>
      </w:r>
      <w:r w:rsidRPr="00642952">
        <w:fldChar w:fldCharType="end"/>
      </w:r>
      <w:r w:rsidRPr="00642952">
        <w:rPr>
          <w:b/>
          <w:bCs/>
        </w:rPr>
        <w:t>: Central cost estimates for each stunning option (£/pig)</w:t>
      </w:r>
    </w:p>
    <w:p w14:paraId="094E80D3" w14:textId="352FD3DD" w:rsidR="00392F11" w:rsidRPr="00642952" w:rsidRDefault="00904DDF" w:rsidP="00392F11">
      <w:r w:rsidRPr="00642952">
        <w:rPr>
          <w:noProof/>
        </w:rPr>
        <w:drawing>
          <wp:inline distT="0" distB="0" distL="0" distR="0" wp14:anchorId="6D6DDAEA" wp14:editId="3FC2657C">
            <wp:extent cx="4618019" cy="2770360"/>
            <wp:effectExtent l="0" t="0" r="0" b="0"/>
            <wp:docPr id="641864644" name="Picture 2" descr="Bar chart comparing stunning cost estimates per pig (£/pig) across four methods: CO2 baseline, argon with added capacity, argon with no added capacity, and electrical stunning. Argon with added capacity shows highest cost near £1.50, followed by Argon with no added capacity around £1.35, Electrical stunning at approximately £1.10, and CO2 baseline lowest at about £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64644" name="Picture 2" descr="Bar chart comparing stunning cost estimates per pig (£/pig) across four methods: CO2 baseline, argon with added capacity, argon with no added capacity, and electrical stunning. Argon with added capacity shows highest cost near £1.50, followed by Argon with no added capacity around £1.35, Electrical stunning at approximately £1.10, and CO2 baseline lowest at about £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5869" cy="2799065"/>
                    </a:xfrm>
                    <a:prstGeom prst="rect">
                      <a:avLst/>
                    </a:prstGeom>
                    <a:noFill/>
                  </pic:spPr>
                </pic:pic>
              </a:graphicData>
            </a:graphic>
          </wp:inline>
        </w:drawing>
      </w:r>
    </w:p>
    <w:p w14:paraId="2A6BF197" w14:textId="77777777" w:rsidR="00904DDF" w:rsidRPr="00642952" w:rsidRDefault="00904DDF" w:rsidP="00392F11"/>
    <w:p w14:paraId="671006C8" w14:textId="589E4CFA" w:rsidR="005D5F56" w:rsidRPr="00642952" w:rsidRDefault="005D5F56" w:rsidP="005D5F56">
      <w:r w:rsidRPr="00642952">
        <w:t xml:space="preserve">Under central assumptions, all alternatives are materially more expensive than the baseline. Argon with added capacity is £1.49 per pig, </w:t>
      </w:r>
      <w:r w:rsidR="00855DB4" w:rsidRPr="00642952">
        <w:t>a</w:t>
      </w:r>
      <w:r w:rsidRPr="00642952">
        <w:t xml:space="preserve">rgon without added capacity is £1.36 per pig and </w:t>
      </w:r>
      <w:r w:rsidR="00855DB4" w:rsidRPr="00642952">
        <w:t>e</w:t>
      </w:r>
      <w:r w:rsidRPr="00642952">
        <w:t>lectrical</w:t>
      </w:r>
      <w:r w:rsidR="00855DB4" w:rsidRPr="00642952">
        <w:t xml:space="preserve"> stunning</w:t>
      </w:r>
      <w:r w:rsidRPr="00642952">
        <w:t xml:space="preserve"> is £1.11 per pig. These represent uplifts of 257</w:t>
      </w:r>
      <w:r w:rsidR="00892431" w:rsidRPr="00642952">
        <w:t>%</w:t>
      </w:r>
      <w:r w:rsidRPr="00642952">
        <w:t>, 226</w:t>
      </w:r>
      <w:r w:rsidR="00892431" w:rsidRPr="00642952">
        <w:t>%</w:t>
      </w:r>
      <w:r w:rsidRPr="00642952">
        <w:t xml:space="preserve"> and 165</w:t>
      </w:r>
      <w:r w:rsidR="00892431" w:rsidRPr="00642952">
        <w:t>%,</w:t>
      </w:r>
      <w:r w:rsidRPr="00642952">
        <w:t xml:space="preserve"> respectively</w:t>
      </w:r>
      <w:r w:rsidR="00CA5A9D" w:rsidRPr="00642952">
        <w:t>,</w:t>
      </w:r>
      <w:r w:rsidRPr="00642952">
        <w:t xml:space="preserve"> relative to CO</w:t>
      </w:r>
      <w:r w:rsidRPr="00642952">
        <w:rPr>
          <w:rFonts w:ascii="Cambria Math" w:hAnsi="Cambria Math" w:cs="Cambria Math"/>
        </w:rPr>
        <w:t>₂</w:t>
      </w:r>
      <w:r w:rsidRPr="00642952">
        <w:t xml:space="preserve">. </w:t>
      </w:r>
    </w:p>
    <w:p w14:paraId="6CE104EA" w14:textId="77777777" w:rsidR="005D5F56" w:rsidRPr="00642952" w:rsidRDefault="005D5F56" w:rsidP="005D5F56">
      <w:r w:rsidRPr="00642952">
        <w:t xml:space="preserve">The optimistic and pessimistic ranges show the same pattern, while illustrating sensitivity to plausible variation in key parameters. These ranges reflect uncertainty in throughput penalties, staffing and overtime requirements, capital envelopes and input prices. Optimistic results remain materially above baseline for all options, and pessimistic results rise to roughly 4.4x–4.7x the baseline. </w:t>
      </w:r>
    </w:p>
    <w:p w14:paraId="0F86722E" w14:textId="3BDC2829" w:rsidR="005D5F56" w:rsidRPr="00642952" w:rsidRDefault="005D5F56" w:rsidP="005D5F56">
      <w:r w:rsidRPr="00642952">
        <w:t xml:space="preserve">The drivers of the uplifts are clear. For argon, the largest contributions come from argon purchase and higher labour, with a further increment from annuitised capital. For electrical, the absence of gas purchase lowers operating costs relative to argon, but a larger capital annuity and higher labour still </w:t>
      </w:r>
      <w:proofErr w:type="gramStart"/>
      <w:r w:rsidRPr="00642952">
        <w:t>keep</w:t>
      </w:r>
      <w:r w:rsidR="007A1BFC" w:rsidRPr="00642952">
        <w:t>s</w:t>
      </w:r>
      <w:proofErr w:type="gramEnd"/>
      <w:r w:rsidRPr="00642952">
        <w:t xml:space="preserve"> per-pig costs well above CO</w:t>
      </w:r>
      <w:r w:rsidRPr="00642952">
        <w:rPr>
          <w:rFonts w:ascii="Cambria Math" w:hAnsi="Cambria Math" w:cs="Cambria Math"/>
        </w:rPr>
        <w:t>₂</w:t>
      </w:r>
      <w:r w:rsidRPr="00642952">
        <w:t>. With annual pigs held constant in the central comparisons, these structural differences explain why electrical</w:t>
      </w:r>
      <w:r w:rsidR="00E0479E" w:rsidRPr="00642952">
        <w:t xml:space="preserve"> stunning</w:t>
      </w:r>
      <w:r w:rsidRPr="00642952">
        <w:t xml:space="preserve"> sits below the argon options but remains materially higher than baseline.</w:t>
      </w:r>
    </w:p>
    <w:p w14:paraId="33D71B37" w14:textId="1C790CA3" w:rsidR="005D5F56" w:rsidRPr="00642952" w:rsidRDefault="005D5F56" w:rsidP="005D5F56">
      <w:r w:rsidRPr="00642952">
        <w:t xml:space="preserve">Our model also tests sensitivity to operating assumptions. If </w:t>
      </w:r>
      <w:r w:rsidR="007B3485" w:rsidRPr="00642952">
        <w:t>a</w:t>
      </w:r>
      <w:r w:rsidRPr="00642952">
        <w:t>rgon with added capacity maximises throughput rather than capping output at the CO</w:t>
      </w:r>
      <w:r w:rsidRPr="00642952">
        <w:rPr>
          <w:rFonts w:ascii="Cambria Math" w:hAnsi="Cambria Math" w:cs="Cambria Math"/>
        </w:rPr>
        <w:t>₂</w:t>
      </w:r>
      <w:r w:rsidRPr="00642952">
        <w:t xml:space="preserve"> baseline, per-pig costs fall because fixed and semi-fixed elements are spread over more pigs, although at £1.40 remain well above the CO</w:t>
      </w:r>
      <w:r w:rsidRPr="00642952">
        <w:rPr>
          <w:vertAlign w:val="subscript"/>
        </w:rPr>
        <w:t xml:space="preserve">2 </w:t>
      </w:r>
      <w:r w:rsidRPr="00642952">
        <w:t xml:space="preserve">baseline. If </w:t>
      </w:r>
      <w:r w:rsidR="007B3485" w:rsidRPr="00642952">
        <w:t>a</w:t>
      </w:r>
      <w:r w:rsidRPr="00642952">
        <w:t xml:space="preserve">rgon without added capacity accepts the throughput reduction rather than extending hours, per-pig costs increase further. </w:t>
      </w:r>
    </w:p>
    <w:p w14:paraId="013F7118" w14:textId="77777777" w:rsidR="001D5E7D" w:rsidRDefault="005D5F56" w:rsidP="005D5F56">
      <w:r w:rsidRPr="00642952">
        <w:t xml:space="preserve">There are important uncertainties around the level of costs. Capital is the largest: stakeholders have not undertaken detailed retrofit costings and literature estimates are case-specific to continental layouts, so we use </w:t>
      </w:r>
      <w:r w:rsidRPr="00642952">
        <w:lastRenderedPageBreak/>
        <w:t>ranges and express capex as an annuity. Evidence on installation downtime is mixed and site-specific; the model therefore excludes the cost of lost production during conversion. Throughput and labour assumptions also carry uncertainty because there is no UK commercial experience with argon at scale, and extended hours depend on labour availability and inspection coverage. Input prices for argon and electricity add further variability.</w:t>
      </w:r>
    </w:p>
    <w:p w14:paraId="5E3BD1EA" w14:textId="6AE67D4A" w:rsidR="005D5F56" w:rsidRPr="00642952" w:rsidRDefault="005D5F56" w:rsidP="005D5F56">
      <w:r w:rsidRPr="00642952">
        <w:t xml:space="preserve">Several impacts remain unquantified and outside the totals reported here, including diversion and haulage costs during conversion, export-related effects and site-specific relocation or footprint costs. Of these, the transition costs are likely to be the most substantial, and the high degree of uncertainty around downtime costs and logistics is one of the most material risks of the alternative systems. </w:t>
      </w:r>
    </w:p>
    <w:p w14:paraId="65D1CDFA" w14:textId="77777777" w:rsidR="00C834AF" w:rsidRDefault="005D5F56" w:rsidP="005D5F56">
      <w:r w:rsidRPr="00642952">
        <w:t>Beyond the plant-level costs reported in the model, transition effects arise from how the network adjusts in the short run and where the sector settles in the long run. In the short run, downtime and diversion create real costs that are highly site-specific and depend on geography, sequencing, retailer consent, labour and inspection coverage. These costs are not assigned to the notional plant because they are network effects rather than plant characteristics. They will not fall evenly: early shutdowns bear lost production while offline, but early completers with added capacity may later gain volume as other sites convert.</w:t>
      </w:r>
    </w:p>
    <w:p w14:paraId="37F0DC0B" w14:textId="31BAC985" w:rsidR="005D5F56" w:rsidRPr="00642952" w:rsidRDefault="005D5F56" w:rsidP="005D5F56">
      <w:r w:rsidRPr="00642952">
        <w:t xml:space="preserve">Over the long run, alternatives with higher capital and lower per-line speed could increase the importance of utilisation and scale. If farm supply does not rise, volumes might reallocate toward reliable higher-capacity sites, implying possible consolidation or rebalancing. If supply expands and all sites adopt similar configurations, structural change may be limited. </w:t>
      </w:r>
    </w:p>
    <w:p w14:paraId="38BA8E45" w14:textId="77777777" w:rsidR="000C51B3" w:rsidRDefault="005D5F56" w:rsidP="005D5F56">
      <w:r w:rsidRPr="00642952">
        <w:t>On the demand side, higher unit processing costs will raise the marginal cost of UK pork, with uneven pass-through across products. Pork’s position as a value protein implies substitution risk to poultry and to imports if retail prices rise, and relative competitiveness depends on whether EU suppliers also transition away from CO</w:t>
      </w:r>
      <w:r w:rsidRPr="00642952">
        <w:rPr>
          <w:rFonts w:ascii="Cambria Math" w:hAnsi="Cambria Math" w:cs="Cambria Math"/>
        </w:rPr>
        <w:t>₂</w:t>
      </w:r>
      <w:r w:rsidRPr="00642952">
        <w:t>.</w:t>
      </w:r>
    </w:p>
    <w:p w14:paraId="2E366A43" w14:textId="3F489141" w:rsidR="005D5F56" w:rsidRPr="00642952" w:rsidRDefault="005D5F56" w:rsidP="005D5F56">
      <w:r w:rsidRPr="00642952">
        <w:t>Retailer acceptance and assurance processes add timing and administrative costs, while meat-quality outcomes can affect value realisation through trimming and downgrades. Environmentally, replacing CO</w:t>
      </w:r>
      <w:r w:rsidRPr="00642952">
        <w:rPr>
          <w:rFonts w:ascii="Cambria Math" w:hAnsi="Cambria Math" w:cs="Cambria Math"/>
        </w:rPr>
        <w:t>₂</w:t>
      </w:r>
      <w:r w:rsidRPr="00642952">
        <w:t xml:space="preserve"> stunning removes roughly 0.26 kg CO</w:t>
      </w:r>
      <w:r w:rsidRPr="00642952">
        <w:rPr>
          <w:rFonts w:ascii="Cambria Math" w:hAnsi="Cambria Math" w:cs="Cambria Math"/>
        </w:rPr>
        <w:t>₂</w:t>
      </w:r>
      <w:r w:rsidRPr="00642952">
        <w:t xml:space="preserve"> per pig at the notional site – about 300</w:t>
      </w:r>
      <w:r w:rsidR="000C51B3">
        <w:t xml:space="preserve"> </w:t>
      </w:r>
      <w:r w:rsidRPr="00642952">
        <w:t>t</w:t>
      </w:r>
      <w:r w:rsidR="00B05989" w:rsidRPr="00642952">
        <w:t xml:space="preserve"> </w:t>
      </w:r>
      <w:r w:rsidRPr="00642952">
        <w:t>CO</w:t>
      </w:r>
      <w:r w:rsidRPr="00642952">
        <w:rPr>
          <w:rFonts w:ascii="Cambria Math" w:hAnsi="Cambria Math" w:cs="Cambria Math"/>
        </w:rPr>
        <w:t>₂</w:t>
      </w:r>
      <w:r w:rsidRPr="00642952">
        <w:t xml:space="preserve"> per year – but the monetised benefit at typical carbon prices is small relative to the reported per-pig cost uplifts and may be partly offset by higher electricity use. These wider factors are material for interpretation but cannot be credibly monetised for a representative site with current evidence.</w:t>
      </w:r>
    </w:p>
    <w:p w14:paraId="666B6B52" w14:textId="77777777" w:rsidR="00D1312D" w:rsidRDefault="005D5F56" w:rsidP="005D5F56">
      <w:r w:rsidRPr="00642952">
        <w:t xml:space="preserve">Finally, on inert gases, stakeholders consistently indicated that </w:t>
      </w:r>
      <w:r w:rsidRPr="00640132">
        <w:t>helium is not commercially feasible</w:t>
      </w:r>
      <w:r w:rsidRPr="00642952">
        <w:t xml:space="preserve"> for UK retrofit. Helium is lighter than air, so adopting it would require a fundamental redesign of containment and handling rather than a like-for-like replacement, alongside higher gas costs and supply considerations.</w:t>
      </w:r>
      <w:r w:rsidR="00D1312D">
        <w:t xml:space="preserve"> </w:t>
      </w:r>
      <w:r w:rsidRPr="00642952">
        <w:t>By contrast, argon is the more realistic inert-gas option if a gas alternative is desired, and it is therefore the focus of our modelling.</w:t>
      </w:r>
    </w:p>
    <w:p w14:paraId="78976520" w14:textId="517A9322" w:rsidR="005D5F56" w:rsidRPr="00642952" w:rsidRDefault="005D5F56" w:rsidP="005D5F56">
      <w:r w:rsidRPr="00642952">
        <w:t>Electrical stunning offers a different trade-off profile: it avoids CO</w:t>
      </w:r>
      <w:r w:rsidRPr="00642952">
        <w:rPr>
          <w:rFonts w:ascii="Cambria Math" w:hAnsi="Cambria Math" w:cs="Cambria Math"/>
        </w:rPr>
        <w:t>₂</w:t>
      </w:r>
      <w:r w:rsidRPr="00642952">
        <w:t xml:space="preserve"> aversion and gas purchase, and generally has lower operating costs than argon, but brings welfare considerations regarding pre-stun handling and larger upfront capital costs.</w:t>
      </w:r>
    </w:p>
    <w:p w14:paraId="262905D5" w14:textId="732BB1F4" w:rsidR="005A050E" w:rsidRPr="00642952" w:rsidRDefault="005D5F56" w:rsidP="00C70315">
      <w:r w:rsidRPr="00642952">
        <w:t>In summary, within the evidence-based ranges tested, switching away from CO</w:t>
      </w:r>
      <w:r w:rsidRPr="00642952">
        <w:rPr>
          <w:rFonts w:ascii="Cambria Math" w:hAnsi="Cambria Math" w:cs="Cambria Math"/>
        </w:rPr>
        <w:t>₂</w:t>
      </w:r>
      <w:r w:rsidRPr="00642952">
        <w:t xml:space="preserve"> increases per-pig costs substantially for all alternatives. Electrical</w:t>
      </w:r>
      <w:r w:rsidR="00F24FF4" w:rsidRPr="00642952">
        <w:t xml:space="preserve"> stunning</w:t>
      </w:r>
      <w:r w:rsidRPr="00642952">
        <w:t xml:space="preserve"> is generally the lowest-cost alternative of those modelled but remains well above the current baseline; argon options are higher, with results shaped by throughput effects, labour and capital. The ordering is reasonably stable, while the exact magnitudes depend on capital envelopes, throughput penalties, labour and input prices, and on non-monetised transition costs that would add to totals in practice.</w:t>
      </w:r>
    </w:p>
    <w:p w14:paraId="041F5664" w14:textId="64623AFC" w:rsidR="000B5B6B" w:rsidRPr="00642952" w:rsidRDefault="000B5B6B" w:rsidP="000B5B6B">
      <w:pPr>
        <w:pStyle w:val="Heading-Shout-outBox"/>
      </w:pPr>
      <w:bookmarkStart w:id="42" w:name="_Toc224553251"/>
      <w:r w:rsidRPr="00642952">
        <w:rPr>
          <w:rStyle w:val="Heading2Char"/>
        </w:rPr>
        <w:t>Contact us</w:t>
      </w:r>
      <w:bookmarkEnd w:id="42"/>
    </w:p>
    <w:p w14:paraId="4141FC31" w14:textId="77777777" w:rsidR="000B5B6B" w:rsidRPr="00642952" w:rsidRDefault="000B5B6B" w:rsidP="000B5B6B">
      <w:r w:rsidRPr="00642952">
        <w:t xml:space="preserve">AHDB, Siskin Parkway East, Middlemarch Business Park, Coventry CV3 4PE </w:t>
      </w:r>
      <w:r w:rsidRPr="00642952">
        <w:tab/>
      </w:r>
    </w:p>
    <w:p w14:paraId="7333073F" w14:textId="59C05E01" w:rsidR="00725D0B" w:rsidRPr="00642952" w:rsidRDefault="000B5B6B" w:rsidP="00397600">
      <w:pPr>
        <w:rPr>
          <w:rFonts w:ascii="Ubuntu" w:eastAsiaTheme="majorEastAsia" w:hAnsi="Ubuntu" w:cstheme="majorBidi"/>
          <w:color w:val="0090D4"/>
          <w:sz w:val="32"/>
          <w:szCs w:val="32"/>
        </w:rPr>
      </w:pPr>
      <w:r w:rsidRPr="00642952">
        <w:t>Email: info@ahdb.org.uk</w:t>
      </w:r>
    </w:p>
    <w:sectPr w:rsidR="00725D0B" w:rsidRPr="00642952" w:rsidSect="008C7FD4">
      <w:headerReference w:type="default" r:id="rId15"/>
      <w:footerReference w:type="even" r:id="rId16"/>
      <w:footerReference w:type="default" r:id="rId17"/>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295B" w14:textId="77777777" w:rsidR="007B4C62" w:rsidRDefault="007B4C62" w:rsidP="00F86FBC">
      <w:r>
        <w:separator/>
      </w:r>
    </w:p>
    <w:p w14:paraId="1C664966" w14:textId="77777777" w:rsidR="007B4C62" w:rsidRDefault="007B4C62"/>
  </w:endnote>
  <w:endnote w:type="continuationSeparator" w:id="0">
    <w:p w14:paraId="6526F636" w14:textId="77777777" w:rsidR="007B4C62" w:rsidRDefault="007B4C62" w:rsidP="00F86FBC">
      <w:r>
        <w:continuationSeparator/>
      </w:r>
    </w:p>
    <w:p w14:paraId="22C062CA" w14:textId="77777777" w:rsidR="007B4C62" w:rsidRDefault="007B4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4127EFAA" w:rsidR="00B05791" w:rsidRPr="004C68B7" w:rsidRDefault="00F41E71" w:rsidP="00740B5A">
    <w:pPr>
      <w:pStyle w:val="Footer"/>
      <w:tabs>
        <w:tab w:val="clear" w:pos="4513"/>
        <w:tab w:val="center" w:pos="4395"/>
      </w:tabs>
      <w:rPr>
        <w:sz w:val="20"/>
      </w:rPr>
    </w:pPr>
    <w:r w:rsidRPr="004C68B7">
      <w:rPr>
        <w:sz w:val="20"/>
      </w:rPr>
      <w:t xml:space="preserve">Page </w:t>
    </w:r>
    <w:r w:rsidRPr="004C68B7">
      <w:rPr>
        <w:sz w:val="20"/>
      </w:rPr>
      <w:fldChar w:fldCharType="begin"/>
    </w:r>
    <w:r w:rsidRPr="004C68B7">
      <w:rPr>
        <w:sz w:val="20"/>
      </w:rPr>
      <w:instrText xml:space="preserve"> PAGE  \* Arabic  \* MERGEFORMAT </w:instrText>
    </w:r>
    <w:r w:rsidRPr="004C68B7">
      <w:rPr>
        <w:sz w:val="20"/>
      </w:rPr>
      <w:fldChar w:fldCharType="separate"/>
    </w:r>
    <w:r w:rsidRPr="004C68B7">
      <w:rPr>
        <w:sz w:val="20"/>
      </w:rPr>
      <w:t>2</w:t>
    </w:r>
    <w:r w:rsidRPr="004C68B7">
      <w:rPr>
        <w:sz w:val="20"/>
      </w:rPr>
      <w:fldChar w:fldCharType="end"/>
    </w:r>
    <w:r w:rsidRPr="004C68B7">
      <w:rPr>
        <w:sz w:val="20"/>
      </w:rPr>
      <w:t xml:space="preserve"> of </w:t>
    </w:r>
    <w:r w:rsidRPr="004C68B7">
      <w:rPr>
        <w:sz w:val="20"/>
      </w:rPr>
      <w:fldChar w:fldCharType="begin"/>
    </w:r>
    <w:r w:rsidRPr="004C68B7">
      <w:rPr>
        <w:sz w:val="20"/>
      </w:rPr>
      <w:instrText xml:space="preserve"> NUMPAGES  \* Arabic  \* MERGEFORMAT </w:instrText>
    </w:r>
    <w:r w:rsidRPr="004C68B7">
      <w:rPr>
        <w:sz w:val="20"/>
      </w:rPr>
      <w:fldChar w:fldCharType="separate"/>
    </w:r>
    <w:r w:rsidRPr="004C68B7">
      <w:rPr>
        <w:sz w:val="20"/>
      </w:rPr>
      <w:t>2</w:t>
    </w:r>
    <w:r w:rsidRPr="004C68B7">
      <w:rPr>
        <w:sz w:val="20"/>
      </w:rPr>
      <w:fldChar w:fldCharType="end"/>
    </w:r>
    <w:r w:rsidR="002341E1" w:rsidRPr="004C68B7">
      <w:rPr>
        <w:sz w:val="20"/>
      </w:rPr>
      <w:t xml:space="preserve"> </w:t>
    </w:r>
    <w:r w:rsidR="002341E1" w:rsidRPr="004C68B7">
      <w:rPr>
        <w:sz w:val="20"/>
      </w:rPr>
      <w:tab/>
    </w:r>
    <w:r w:rsidR="00B539D5" w:rsidRPr="004C68B7">
      <w:rPr>
        <w:sz w:val="20"/>
      </w:rPr>
      <w:sym w:font="Symbol" w:char="F0E3"/>
    </w:r>
    <w:r w:rsidR="00B539D5" w:rsidRPr="004C68B7">
      <w:rPr>
        <w:sz w:val="20"/>
      </w:rPr>
      <w:t xml:space="preserve"> Agriculture and Horticulture Development Board </w:t>
    </w:r>
    <w:r w:rsidR="00B539D5" w:rsidRPr="004C68B7">
      <w:rPr>
        <w:sz w:val="20"/>
      </w:rPr>
      <w:fldChar w:fldCharType="begin"/>
    </w:r>
    <w:r w:rsidR="00B539D5" w:rsidRPr="004C68B7">
      <w:rPr>
        <w:sz w:val="20"/>
      </w:rPr>
      <w:instrText xml:space="preserve"> DATE \@ "yyyy" \* MERGEFORMAT </w:instrText>
    </w:r>
    <w:r w:rsidR="00B539D5" w:rsidRPr="004C68B7">
      <w:rPr>
        <w:sz w:val="20"/>
      </w:rPr>
      <w:fldChar w:fldCharType="separate"/>
    </w:r>
    <w:r w:rsidR="00863DD0">
      <w:rPr>
        <w:noProof/>
        <w:sz w:val="20"/>
      </w:rPr>
      <w:t>2026</w:t>
    </w:r>
    <w:r w:rsidR="00B539D5" w:rsidRPr="004C68B7">
      <w:rPr>
        <w:sz w:val="20"/>
      </w:rPr>
      <w:fldChar w:fldCharType="end"/>
    </w:r>
    <w:r w:rsidR="00B539D5" w:rsidRPr="004C68B7">
      <w:rPr>
        <w:sz w:val="20"/>
      </w:rPr>
      <w:t>. All rights reserved.</w:t>
    </w:r>
  </w:p>
  <w:p w14:paraId="3BB49FB2" w14:textId="1D876DB3" w:rsidR="00F41E71" w:rsidRPr="00B05791" w:rsidRDefault="00F41E71" w:rsidP="00B05791">
    <w:pPr>
      <w:pStyle w:val="Footer"/>
      <w:tabs>
        <w:tab w:val="center" w:pos="4395"/>
      </w:tabs>
      <w:rPr>
        <w:sz w:val="24"/>
        <w:szCs w:val="24"/>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5768" w14:textId="77777777" w:rsidR="007B4C62" w:rsidRDefault="007B4C62" w:rsidP="00F86FBC">
      <w:r>
        <w:separator/>
      </w:r>
    </w:p>
    <w:p w14:paraId="18CBEF46" w14:textId="77777777" w:rsidR="007B4C62" w:rsidRDefault="007B4C62"/>
  </w:footnote>
  <w:footnote w:type="continuationSeparator" w:id="0">
    <w:p w14:paraId="3F1C4C9F" w14:textId="77777777" w:rsidR="007B4C62" w:rsidRDefault="007B4C62" w:rsidP="00F86FBC">
      <w:r>
        <w:continuationSeparator/>
      </w:r>
    </w:p>
    <w:p w14:paraId="3BB44EB2" w14:textId="77777777" w:rsidR="007B4C62" w:rsidRDefault="007B4C62"/>
  </w:footnote>
  <w:footnote w:id="1">
    <w:p w14:paraId="63567BD5" w14:textId="6DEC4B53" w:rsidR="007B1041" w:rsidRPr="00385172" w:rsidRDefault="007B1041" w:rsidP="007B1041">
      <w:pPr>
        <w:rPr>
          <w:lang w:val="en-US"/>
        </w:rPr>
      </w:pPr>
      <w:r>
        <w:rPr>
          <w:rStyle w:val="FootnoteReference"/>
        </w:rPr>
        <w:footnoteRef/>
      </w:r>
      <w:r>
        <w:t xml:space="preserve"> </w:t>
      </w:r>
      <w:r w:rsidR="00282F8E">
        <w:t xml:space="preserve">Defra </w:t>
      </w:r>
      <w:r w:rsidR="002E42A7">
        <w:t>o</w:t>
      </w:r>
      <w:r>
        <w:t>fficial statistics (2025) [</w:t>
      </w:r>
      <w:hyperlink r:id="rId1" w:anchor="pigs-and-pig-meat" w:history="1">
        <w:r>
          <w:rPr>
            <w:rStyle w:val="Hyperlink"/>
          </w:rPr>
          <w:t>online</w:t>
        </w:r>
      </w:hyperlink>
      <w:r>
        <w:t xml:space="preserve">]  </w:t>
      </w:r>
    </w:p>
  </w:footnote>
  <w:footnote w:id="2">
    <w:p w14:paraId="07D99172" w14:textId="2475436A" w:rsidR="007B1041" w:rsidRPr="00CC5CE2" w:rsidRDefault="007B1041" w:rsidP="007B1041">
      <w:r>
        <w:rPr>
          <w:rStyle w:val="FootnoteReference"/>
        </w:rPr>
        <w:footnoteRef/>
      </w:r>
      <w:r w:rsidRPr="007816BD">
        <w:t xml:space="preserve"> Nielsen, S. S., et al. </w:t>
      </w:r>
      <w:r w:rsidRPr="00142E69">
        <w:t>"EFSA. Scientific opinion. Welfare of pigs at slaughter." </w:t>
      </w:r>
      <w:r w:rsidRPr="00142E69">
        <w:rPr>
          <w:i/>
          <w:iCs/>
        </w:rPr>
        <w:t>EFSA Journal</w:t>
      </w:r>
      <w:r w:rsidRPr="00142E69">
        <w:t> (2020).</w:t>
      </w:r>
      <w:r>
        <w:t xml:space="preserve"> [</w:t>
      </w:r>
      <w:hyperlink r:id="rId2" w:history="1">
        <w:r>
          <w:rPr>
            <w:rStyle w:val="Hyperlink"/>
          </w:rPr>
          <w:t>online</w:t>
        </w:r>
      </w:hyperlink>
      <w:r>
        <w:t xml:space="preserve">]  </w:t>
      </w:r>
    </w:p>
  </w:footnote>
  <w:footnote w:id="3">
    <w:p w14:paraId="40AD6794" w14:textId="3A6B2113" w:rsidR="007B1041" w:rsidRDefault="007B1041" w:rsidP="007B1041">
      <w:pPr>
        <w:pStyle w:val="FootnoteText"/>
      </w:pPr>
      <w:r>
        <w:rPr>
          <w:rStyle w:val="FootnoteReference"/>
        </w:rPr>
        <w:footnoteRef/>
      </w:r>
      <w:r>
        <w:t xml:space="preserve"> </w:t>
      </w:r>
      <w:hyperlink r:id="rId3" w:history="1">
        <w:r w:rsidR="004973F9" w:rsidRPr="00A02604">
          <w:rPr>
            <w:rStyle w:val="Hyperlink"/>
          </w:rPr>
          <w:t>https://eurcaw-pigs.eu/dossier/pigstun</w:t>
        </w:r>
      </w:hyperlink>
      <w:r>
        <w:t xml:space="preserve"> </w:t>
      </w:r>
    </w:p>
  </w:footnote>
  <w:footnote w:id="4">
    <w:p w14:paraId="25F3EBE2" w14:textId="1D12B1E8" w:rsidR="00774492" w:rsidRDefault="00774492" w:rsidP="00774492">
      <w:pPr>
        <w:pStyle w:val="FootnoteText"/>
      </w:pPr>
      <w:r>
        <w:rPr>
          <w:rStyle w:val="FootnoteReference"/>
        </w:rPr>
        <w:footnoteRef/>
      </w:r>
      <w:r>
        <w:t xml:space="preserve"> </w:t>
      </w:r>
      <w:r w:rsidR="002E42A7">
        <w:t xml:space="preserve">Defra </w:t>
      </w:r>
      <w:r>
        <w:t>(October 2025) “</w:t>
      </w:r>
      <w:r w:rsidRPr="00EB1EF3">
        <w:t>Opinion on the welfare impacts on pigs of high concentration CO</w:t>
      </w:r>
      <w:r w:rsidRPr="005B6E69">
        <w:rPr>
          <w:vertAlign w:val="subscript"/>
        </w:rPr>
        <w:t>2</w:t>
      </w:r>
      <w:r w:rsidRPr="00EB1EF3">
        <w:t xml:space="preserve"> gas stunning and of potential alternative stunning methods</w:t>
      </w:r>
      <w:r>
        <w:t>” [</w:t>
      </w:r>
      <w:hyperlink r:id="rId4" w:anchor="introduction-and-scope" w:history="1">
        <w:r>
          <w:rPr>
            <w:rStyle w:val="Hyperlink"/>
          </w:rPr>
          <w:t>online</w:t>
        </w:r>
      </w:hyperlink>
      <w:r>
        <w:t xml:space="preserve">] </w:t>
      </w:r>
    </w:p>
  </w:footnote>
  <w:footnote w:id="5">
    <w:p w14:paraId="2ACDC484" w14:textId="3B001CE5" w:rsidR="004D2B1B" w:rsidRDefault="004D2B1B" w:rsidP="004D2B1B">
      <w:pPr>
        <w:pStyle w:val="FootnoteText"/>
      </w:pPr>
      <w:r>
        <w:rPr>
          <w:rStyle w:val="FootnoteReference"/>
        </w:rPr>
        <w:footnoteRef/>
      </w:r>
      <w:r>
        <w:t xml:space="preserve"> EURCAW Pigs “</w:t>
      </w:r>
      <w:r w:rsidRPr="00EC1CFD">
        <w:t>D4: Analyses and recommendations regarding four systems in the PigStun project that provide alternatives to high CO</w:t>
      </w:r>
      <w:r w:rsidRPr="005B6E69">
        <w:rPr>
          <w:vertAlign w:val="subscript"/>
        </w:rPr>
        <w:t>2</w:t>
      </w:r>
      <w:r w:rsidRPr="00EC1CFD">
        <w:t xml:space="preserve"> stunning: Deliverable 4 PigStun</w:t>
      </w:r>
      <w:r w:rsidR="00B65330">
        <w:t>”</w:t>
      </w:r>
      <w:r>
        <w:t xml:space="preserve"> [</w:t>
      </w:r>
      <w:hyperlink r:id="rId5" w:history="1">
        <w:r>
          <w:rPr>
            <w:rStyle w:val="Hyperlink"/>
          </w:rPr>
          <w:t>online</w:t>
        </w:r>
      </w:hyperlink>
      <w:r>
        <w:t>]</w:t>
      </w:r>
    </w:p>
  </w:footnote>
  <w:footnote w:id="6">
    <w:p w14:paraId="49464BAD" w14:textId="0C1AAECA" w:rsidR="00597EAD" w:rsidRDefault="00597EAD" w:rsidP="00597EAD">
      <w:pPr>
        <w:pStyle w:val="FootnoteText"/>
      </w:pPr>
      <w:r>
        <w:rPr>
          <w:rStyle w:val="FootnoteReference"/>
        </w:rPr>
        <w:footnoteRef/>
      </w:r>
      <w:r>
        <w:t xml:space="preserve"> </w:t>
      </w:r>
      <w:hyperlink r:id="rId6" w:history="1">
        <w:r w:rsidR="00C34E45" w:rsidRPr="00C013F7">
          <w:rPr>
            <w:rStyle w:val="Hyperlink"/>
          </w:rPr>
          <w:t>https://occupational-maps.skillsengland.education.gov.uk/maps/occupation/OCC0418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0AD9F250" w14:textId="77777777" w:rsidR="005D76FD" w:rsidRDefault="005D76FD" w:rsidP="00F86FBC">
    <w:pPr>
      <w:pStyle w:val="Header"/>
    </w:pPr>
  </w:p>
  <w:p w14:paraId="6631AA0C" w14:textId="77777777" w:rsidR="00783013" w:rsidRDefault="0078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5"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6"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7"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8"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9"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0" w15:restartNumberingAfterBreak="0">
    <w:nsid w:val="039517A1"/>
    <w:multiLevelType w:val="hybridMultilevel"/>
    <w:tmpl w:val="671E82AA"/>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485C7E"/>
    <w:multiLevelType w:val="hybridMultilevel"/>
    <w:tmpl w:val="3918C1A0"/>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3"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4"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5" w15:restartNumberingAfterBreak="0">
    <w:nsid w:val="0FD04A22"/>
    <w:multiLevelType w:val="hybridMultilevel"/>
    <w:tmpl w:val="8CFE98E2"/>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DA37C3"/>
    <w:multiLevelType w:val="hybridMultilevel"/>
    <w:tmpl w:val="F9A84BAE"/>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9" w15:restartNumberingAfterBreak="0">
    <w:nsid w:val="19230DD1"/>
    <w:multiLevelType w:val="hybridMultilevel"/>
    <w:tmpl w:val="5888E732"/>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4F5941"/>
    <w:multiLevelType w:val="hybridMultilevel"/>
    <w:tmpl w:val="A7E4440A"/>
    <w:lvl w:ilvl="0" w:tplc="08090001">
      <w:start w:val="1"/>
      <w:numFmt w:val="bullet"/>
      <w:lvlText w:val=""/>
      <w:lvlJc w:val="left"/>
      <w:pPr>
        <w:ind w:left="720" w:hanging="360"/>
      </w:pPr>
      <w:rPr>
        <w:rFonts w:ascii="Symbol" w:hAnsi="Symbol" w:hint="default"/>
        <w:b/>
        <w:i w:val="0"/>
        <w:color w:val="669E4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357236"/>
    <w:multiLevelType w:val="hybridMultilevel"/>
    <w:tmpl w:val="C34A9A5C"/>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3" w15:restartNumberingAfterBreak="0">
    <w:nsid w:val="37113AAE"/>
    <w:multiLevelType w:val="hybridMultilevel"/>
    <w:tmpl w:val="E2D218A0"/>
    <w:lvl w:ilvl="0" w:tplc="08090001">
      <w:start w:val="1"/>
      <w:numFmt w:val="bullet"/>
      <w:lvlText w:val=""/>
      <w:lvlJc w:val="left"/>
      <w:pPr>
        <w:ind w:left="720" w:hanging="360"/>
      </w:pPr>
      <w:rPr>
        <w:rFonts w:ascii="Symbol" w:hAnsi="Symbol" w:hint="default"/>
        <w:b/>
        <w:i w:val="0"/>
        <w:color w:val="669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5"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26"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8256CE"/>
    <w:multiLevelType w:val="hybridMultilevel"/>
    <w:tmpl w:val="CA18801C"/>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05548"/>
    <w:multiLevelType w:val="hybridMultilevel"/>
    <w:tmpl w:val="07C43DCE"/>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F6E4E"/>
    <w:multiLevelType w:val="hybridMultilevel"/>
    <w:tmpl w:val="03DA38F6"/>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54ECD"/>
    <w:multiLevelType w:val="hybridMultilevel"/>
    <w:tmpl w:val="630AEA88"/>
    <w:lvl w:ilvl="0" w:tplc="290C0EA8">
      <w:start w:val="1"/>
      <w:numFmt w:val="bullet"/>
      <w:pStyle w:val="Bulletlevel1"/>
      <w:lvlText w:val=""/>
      <w:lvlJc w:val="left"/>
      <w:pPr>
        <w:ind w:left="360" w:hanging="360"/>
      </w:pPr>
      <w:rPr>
        <w:rFonts w:ascii="Symbol" w:hAnsi="Symbol" w:hint="default"/>
        <w:color w:val="A6A6A6" w:themeColor="background1" w:themeShade="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C6D77"/>
    <w:multiLevelType w:val="hybridMultilevel"/>
    <w:tmpl w:val="8F1EEF58"/>
    <w:lvl w:ilvl="0" w:tplc="FFFFFFFF">
      <w:start w:val="1"/>
      <w:numFmt w:val="bullet"/>
      <w:lvlText w:val=""/>
      <w:lvlJc w:val="left"/>
      <w:pPr>
        <w:ind w:left="720" w:hanging="360"/>
      </w:pPr>
      <w:rPr>
        <w:rFonts w:ascii="Symbol" w:hAnsi="Symbol" w:hint="default"/>
        <w:b/>
        <w:i w:val="0"/>
        <w:color w:val="669E42"/>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3" w15:restartNumberingAfterBreak="0">
    <w:nsid w:val="7BA547AD"/>
    <w:multiLevelType w:val="hybridMultilevel"/>
    <w:tmpl w:val="0368F12E"/>
    <w:lvl w:ilvl="0" w:tplc="08090001">
      <w:start w:val="1"/>
      <w:numFmt w:val="bullet"/>
      <w:lvlText w:val=""/>
      <w:lvlJc w:val="left"/>
      <w:pPr>
        <w:ind w:left="720" w:hanging="360"/>
      </w:pPr>
      <w:rPr>
        <w:rFonts w:ascii="Symbol" w:hAnsi="Symbol" w:hint="default"/>
        <w:b/>
        <w:i w:val="0"/>
        <w:color w:val="669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189279">
    <w:abstractNumId w:val="0"/>
  </w:num>
  <w:num w:numId="2" w16cid:durableId="1474560151">
    <w:abstractNumId w:val="1"/>
  </w:num>
  <w:num w:numId="3" w16cid:durableId="1866556637">
    <w:abstractNumId w:val="2"/>
  </w:num>
  <w:num w:numId="4" w16cid:durableId="1990750144">
    <w:abstractNumId w:val="3"/>
  </w:num>
  <w:num w:numId="5" w16cid:durableId="670376558">
    <w:abstractNumId w:val="8"/>
  </w:num>
  <w:num w:numId="6" w16cid:durableId="1603226071">
    <w:abstractNumId w:val="4"/>
  </w:num>
  <w:num w:numId="7" w16cid:durableId="1368146155">
    <w:abstractNumId w:val="5"/>
  </w:num>
  <w:num w:numId="8" w16cid:durableId="1713580360">
    <w:abstractNumId w:val="6"/>
  </w:num>
  <w:num w:numId="9" w16cid:durableId="662271278">
    <w:abstractNumId w:val="7"/>
  </w:num>
  <w:num w:numId="10" w16cid:durableId="1636907718">
    <w:abstractNumId w:val="9"/>
  </w:num>
  <w:num w:numId="11" w16cid:durableId="669450329">
    <w:abstractNumId w:val="22"/>
  </w:num>
  <w:num w:numId="12" w16cid:durableId="1919287998">
    <w:abstractNumId w:val="24"/>
  </w:num>
  <w:num w:numId="13" w16cid:durableId="2006857881">
    <w:abstractNumId w:val="17"/>
  </w:num>
  <w:num w:numId="14" w16cid:durableId="1574075096">
    <w:abstractNumId w:val="18"/>
  </w:num>
  <w:num w:numId="15" w16cid:durableId="264920688">
    <w:abstractNumId w:val="13"/>
  </w:num>
  <w:num w:numId="16" w16cid:durableId="1368289204">
    <w:abstractNumId w:val="26"/>
  </w:num>
  <w:num w:numId="17" w16cid:durableId="756832289">
    <w:abstractNumId w:val="12"/>
  </w:num>
  <w:num w:numId="18" w16cid:durableId="2110000414">
    <w:abstractNumId w:val="32"/>
  </w:num>
  <w:num w:numId="19" w16cid:durableId="1933931263">
    <w:abstractNumId w:val="14"/>
  </w:num>
  <w:num w:numId="20" w16cid:durableId="1722896190">
    <w:abstractNumId w:val="25"/>
  </w:num>
  <w:num w:numId="21" w16cid:durableId="1698387328">
    <w:abstractNumId w:val="20"/>
  </w:num>
  <w:num w:numId="22" w16cid:durableId="584606339">
    <w:abstractNumId w:val="16"/>
  </w:num>
  <w:num w:numId="23" w16cid:durableId="1930966151">
    <w:abstractNumId w:val="29"/>
  </w:num>
  <w:num w:numId="24" w16cid:durableId="101800368">
    <w:abstractNumId w:val="10"/>
  </w:num>
  <w:num w:numId="25" w16cid:durableId="1289121261">
    <w:abstractNumId w:val="33"/>
  </w:num>
  <w:num w:numId="26" w16cid:durableId="1766732913">
    <w:abstractNumId w:val="15"/>
  </w:num>
  <w:num w:numId="27" w16cid:durableId="54356265">
    <w:abstractNumId w:val="21"/>
  </w:num>
  <w:num w:numId="28" w16cid:durableId="825324315">
    <w:abstractNumId w:val="19"/>
  </w:num>
  <w:num w:numId="29" w16cid:durableId="1994555267">
    <w:abstractNumId w:val="30"/>
  </w:num>
  <w:num w:numId="30" w16cid:durableId="1160775871">
    <w:abstractNumId w:val="23"/>
  </w:num>
  <w:num w:numId="31" w16cid:durableId="1281566196">
    <w:abstractNumId w:val="31"/>
  </w:num>
  <w:num w:numId="32" w16cid:durableId="535502808">
    <w:abstractNumId w:val="27"/>
  </w:num>
  <w:num w:numId="33" w16cid:durableId="1837458401">
    <w:abstractNumId w:val="28"/>
  </w:num>
  <w:num w:numId="34" w16cid:durableId="211455139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hvfavfA/C2Se2ZhMQcAR2R4x0p7zgsz213jzx/2L7tzlXXx+Jyct+ldCEh01gV7SnoJwxLRwjPw5fR27DbBw==" w:salt="2k90Vja3VTLbt3vaN6Zue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13AD"/>
    <w:rsid w:val="00003B6D"/>
    <w:rsid w:val="00004C57"/>
    <w:rsid w:val="00005C32"/>
    <w:rsid w:val="000073E2"/>
    <w:rsid w:val="00010023"/>
    <w:rsid w:val="00012FE6"/>
    <w:rsid w:val="00022D05"/>
    <w:rsid w:val="0002370F"/>
    <w:rsid w:val="00023D1E"/>
    <w:rsid w:val="000274F5"/>
    <w:rsid w:val="000312D7"/>
    <w:rsid w:val="00035C44"/>
    <w:rsid w:val="000409C1"/>
    <w:rsid w:val="0004267A"/>
    <w:rsid w:val="000542FD"/>
    <w:rsid w:val="000603D9"/>
    <w:rsid w:val="00060BAD"/>
    <w:rsid w:val="0006243B"/>
    <w:rsid w:val="000652BD"/>
    <w:rsid w:val="00065D79"/>
    <w:rsid w:val="00071E20"/>
    <w:rsid w:val="0008570F"/>
    <w:rsid w:val="00085743"/>
    <w:rsid w:val="0008594E"/>
    <w:rsid w:val="0008596A"/>
    <w:rsid w:val="00086F68"/>
    <w:rsid w:val="00091BC0"/>
    <w:rsid w:val="00093728"/>
    <w:rsid w:val="00095094"/>
    <w:rsid w:val="000A0B3D"/>
    <w:rsid w:val="000A22D8"/>
    <w:rsid w:val="000A7CDD"/>
    <w:rsid w:val="000B0B77"/>
    <w:rsid w:val="000B135F"/>
    <w:rsid w:val="000B5B6B"/>
    <w:rsid w:val="000B6A9D"/>
    <w:rsid w:val="000C0E78"/>
    <w:rsid w:val="000C0EAA"/>
    <w:rsid w:val="000C4CA2"/>
    <w:rsid w:val="000C51B3"/>
    <w:rsid w:val="000C5766"/>
    <w:rsid w:val="000C5AD0"/>
    <w:rsid w:val="000C6DA1"/>
    <w:rsid w:val="000D43E5"/>
    <w:rsid w:val="000E0CC6"/>
    <w:rsid w:val="000E0E65"/>
    <w:rsid w:val="000E74F2"/>
    <w:rsid w:val="000F6BC1"/>
    <w:rsid w:val="001007C6"/>
    <w:rsid w:val="00100AEC"/>
    <w:rsid w:val="00103F84"/>
    <w:rsid w:val="00114C48"/>
    <w:rsid w:val="001214F6"/>
    <w:rsid w:val="00123796"/>
    <w:rsid w:val="001276F4"/>
    <w:rsid w:val="00132CC2"/>
    <w:rsid w:val="00136CA7"/>
    <w:rsid w:val="00141EBA"/>
    <w:rsid w:val="001431F0"/>
    <w:rsid w:val="001442A3"/>
    <w:rsid w:val="00150136"/>
    <w:rsid w:val="001523D1"/>
    <w:rsid w:val="001537F8"/>
    <w:rsid w:val="00153CD9"/>
    <w:rsid w:val="0015453B"/>
    <w:rsid w:val="00162F15"/>
    <w:rsid w:val="00164680"/>
    <w:rsid w:val="0017068D"/>
    <w:rsid w:val="00171371"/>
    <w:rsid w:val="0017270D"/>
    <w:rsid w:val="001777A4"/>
    <w:rsid w:val="0018017D"/>
    <w:rsid w:val="001803B8"/>
    <w:rsid w:val="001924A6"/>
    <w:rsid w:val="001924B7"/>
    <w:rsid w:val="001950F6"/>
    <w:rsid w:val="001A77E4"/>
    <w:rsid w:val="001A7B17"/>
    <w:rsid w:val="001B1CE9"/>
    <w:rsid w:val="001B22CB"/>
    <w:rsid w:val="001B7850"/>
    <w:rsid w:val="001D133B"/>
    <w:rsid w:val="001D5E7D"/>
    <w:rsid w:val="001E675E"/>
    <w:rsid w:val="001F12BC"/>
    <w:rsid w:val="00202A95"/>
    <w:rsid w:val="00203595"/>
    <w:rsid w:val="00204B44"/>
    <w:rsid w:val="0020681E"/>
    <w:rsid w:val="00211E92"/>
    <w:rsid w:val="00213709"/>
    <w:rsid w:val="00214B5C"/>
    <w:rsid w:val="0021503A"/>
    <w:rsid w:val="002261FD"/>
    <w:rsid w:val="00226D7C"/>
    <w:rsid w:val="00233DA5"/>
    <w:rsid w:val="002341E1"/>
    <w:rsid w:val="00243D9B"/>
    <w:rsid w:val="00245EE5"/>
    <w:rsid w:val="0025006F"/>
    <w:rsid w:val="00257BDB"/>
    <w:rsid w:val="00260F2C"/>
    <w:rsid w:val="00263DD9"/>
    <w:rsid w:val="0027056A"/>
    <w:rsid w:val="00271B49"/>
    <w:rsid w:val="00271FAB"/>
    <w:rsid w:val="0027661A"/>
    <w:rsid w:val="00277D42"/>
    <w:rsid w:val="00282F8E"/>
    <w:rsid w:val="00284707"/>
    <w:rsid w:val="00286FC0"/>
    <w:rsid w:val="00291FB1"/>
    <w:rsid w:val="002927EF"/>
    <w:rsid w:val="00295C29"/>
    <w:rsid w:val="002978DD"/>
    <w:rsid w:val="002A3365"/>
    <w:rsid w:val="002A3CB4"/>
    <w:rsid w:val="002A5406"/>
    <w:rsid w:val="002A7E22"/>
    <w:rsid w:val="002B03AF"/>
    <w:rsid w:val="002B50E2"/>
    <w:rsid w:val="002B53AC"/>
    <w:rsid w:val="002B65CF"/>
    <w:rsid w:val="002B708D"/>
    <w:rsid w:val="002C1AD0"/>
    <w:rsid w:val="002C28AA"/>
    <w:rsid w:val="002C4C93"/>
    <w:rsid w:val="002D1274"/>
    <w:rsid w:val="002D1445"/>
    <w:rsid w:val="002D17D3"/>
    <w:rsid w:val="002D67CC"/>
    <w:rsid w:val="002D7267"/>
    <w:rsid w:val="002E42A7"/>
    <w:rsid w:val="002E4B61"/>
    <w:rsid w:val="002E6572"/>
    <w:rsid w:val="002F241D"/>
    <w:rsid w:val="002F559A"/>
    <w:rsid w:val="002F64F8"/>
    <w:rsid w:val="003016D2"/>
    <w:rsid w:val="00302C5F"/>
    <w:rsid w:val="00315BE2"/>
    <w:rsid w:val="00326BCE"/>
    <w:rsid w:val="00332A71"/>
    <w:rsid w:val="00332EC4"/>
    <w:rsid w:val="00335EAB"/>
    <w:rsid w:val="00337D0D"/>
    <w:rsid w:val="0034256A"/>
    <w:rsid w:val="0035023E"/>
    <w:rsid w:val="00354243"/>
    <w:rsid w:val="0035563E"/>
    <w:rsid w:val="00355C89"/>
    <w:rsid w:val="003579C5"/>
    <w:rsid w:val="00362D27"/>
    <w:rsid w:val="003646B7"/>
    <w:rsid w:val="00371A1C"/>
    <w:rsid w:val="00380A1B"/>
    <w:rsid w:val="00391132"/>
    <w:rsid w:val="00391804"/>
    <w:rsid w:val="00392F11"/>
    <w:rsid w:val="003938E8"/>
    <w:rsid w:val="003946C5"/>
    <w:rsid w:val="00397600"/>
    <w:rsid w:val="003A5753"/>
    <w:rsid w:val="003A6C41"/>
    <w:rsid w:val="003B254E"/>
    <w:rsid w:val="003C0165"/>
    <w:rsid w:val="003D0E26"/>
    <w:rsid w:val="003D0E4F"/>
    <w:rsid w:val="003D10DF"/>
    <w:rsid w:val="003F1C80"/>
    <w:rsid w:val="003F7096"/>
    <w:rsid w:val="00405CC2"/>
    <w:rsid w:val="00410835"/>
    <w:rsid w:val="004136A6"/>
    <w:rsid w:val="00421214"/>
    <w:rsid w:val="004212B2"/>
    <w:rsid w:val="004225A8"/>
    <w:rsid w:val="00422D92"/>
    <w:rsid w:val="00426604"/>
    <w:rsid w:val="00430707"/>
    <w:rsid w:val="00437579"/>
    <w:rsid w:val="00441A85"/>
    <w:rsid w:val="004440EB"/>
    <w:rsid w:val="004441FD"/>
    <w:rsid w:val="00445C46"/>
    <w:rsid w:val="0044676F"/>
    <w:rsid w:val="00446CE5"/>
    <w:rsid w:val="00450440"/>
    <w:rsid w:val="00453967"/>
    <w:rsid w:val="004556F2"/>
    <w:rsid w:val="00460A64"/>
    <w:rsid w:val="00467747"/>
    <w:rsid w:val="00470C05"/>
    <w:rsid w:val="00472AAC"/>
    <w:rsid w:val="00476508"/>
    <w:rsid w:val="004810EE"/>
    <w:rsid w:val="004846CF"/>
    <w:rsid w:val="00484AB0"/>
    <w:rsid w:val="004854D9"/>
    <w:rsid w:val="00485D00"/>
    <w:rsid w:val="00494598"/>
    <w:rsid w:val="004973F9"/>
    <w:rsid w:val="004A1369"/>
    <w:rsid w:val="004A17F2"/>
    <w:rsid w:val="004A29FC"/>
    <w:rsid w:val="004A6FAF"/>
    <w:rsid w:val="004B03A4"/>
    <w:rsid w:val="004C0E9A"/>
    <w:rsid w:val="004C5497"/>
    <w:rsid w:val="004C5544"/>
    <w:rsid w:val="004C68B7"/>
    <w:rsid w:val="004D100A"/>
    <w:rsid w:val="004D1212"/>
    <w:rsid w:val="004D2B1B"/>
    <w:rsid w:val="004D5544"/>
    <w:rsid w:val="004E25BB"/>
    <w:rsid w:val="004F2A87"/>
    <w:rsid w:val="004F2BA4"/>
    <w:rsid w:val="004F44A9"/>
    <w:rsid w:val="004F7A4D"/>
    <w:rsid w:val="00502D75"/>
    <w:rsid w:val="005079E2"/>
    <w:rsid w:val="0052718A"/>
    <w:rsid w:val="00527301"/>
    <w:rsid w:val="005323C8"/>
    <w:rsid w:val="00533589"/>
    <w:rsid w:val="00533982"/>
    <w:rsid w:val="00534A9E"/>
    <w:rsid w:val="00544050"/>
    <w:rsid w:val="00544AB6"/>
    <w:rsid w:val="00544BDF"/>
    <w:rsid w:val="00544FD0"/>
    <w:rsid w:val="0054577D"/>
    <w:rsid w:val="005466D5"/>
    <w:rsid w:val="00546BC3"/>
    <w:rsid w:val="005522BF"/>
    <w:rsid w:val="005668BF"/>
    <w:rsid w:val="00576BFE"/>
    <w:rsid w:val="005873B4"/>
    <w:rsid w:val="00597EAD"/>
    <w:rsid w:val="005A050E"/>
    <w:rsid w:val="005A09B6"/>
    <w:rsid w:val="005B28CF"/>
    <w:rsid w:val="005B2C49"/>
    <w:rsid w:val="005B6E69"/>
    <w:rsid w:val="005C0CAA"/>
    <w:rsid w:val="005C0E73"/>
    <w:rsid w:val="005C108D"/>
    <w:rsid w:val="005D04A6"/>
    <w:rsid w:val="005D5F56"/>
    <w:rsid w:val="005D6EEB"/>
    <w:rsid w:val="005D6F6B"/>
    <w:rsid w:val="005D76FD"/>
    <w:rsid w:val="005E72E3"/>
    <w:rsid w:val="005F5A75"/>
    <w:rsid w:val="005F7E3D"/>
    <w:rsid w:val="0060090F"/>
    <w:rsid w:val="00601FAD"/>
    <w:rsid w:val="006021CE"/>
    <w:rsid w:val="00602E2A"/>
    <w:rsid w:val="0061099C"/>
    <w:rsid w:val="00611317"/>
    <w:rsid w:val="00625DDC"/>
    <w:rsid w:val="00626B14"/>
    <w:rsid w:val="00627966"/>
    <w:rsid w:val="006313E6"/>
    <w:rsid w:val="00632A67"/>
    <w:rsid w:val="00636F46"/>
    <w:rsid w:val="00640132"/>
    <w:rsid w:val="00642952"/>
    <w:rsid w:val="006628ED"/>
    <w:rsid w:val="00664485"/>
    <w:rsid w:val="00671AAE"/>
    <w:rsid w:val="00674A01"/>
    <w:rsid w:val="006773C8"/>
    <w:rsid w:val="00677E65"/>
    <w:rsid w:val="006801DD"/>
    <w:rsid w:val="006803BA"/>
    <w:rsid w:val="00680A04"/>
    <w:rsid w:val="00680ACD"/>
    <w:rsid w:val="00683160"/>
    <w:rsid w:val="00686074"/>
    <w:rsid w:val="00687A70"/>
    <w:rsid w:val="006900F5"/>
    <w:rsid w:val="006A1334"/>
    <w:rsid w:val="006A4280"/>
    <w:rsid w:val="006A4EA1"/>
    <w:rsid w:val="006A57A2"/>
    <w:rsid w:val="006B4AC0"/>
    <w:rsid w:val="006C3382"/>
    <w:rsid w:val="006D1BD1"/>
    <w:rsid w:val="006D2DEC"/>
    <w:rsid w:val="006E46BF"/>
    <w:rsid w:val="006E554B"/>
    <w:rsid w:val="006F0812"/>
    <w:rsid w:val="006F4214"/>
    <w:rsid w:val="00705F7A"/>
    <w:rsid w:val="007101B9"/>
    <w:rsid w:val="00716D4D"/>
    <w:rsid w:val="00725D0B"/>
    <w:rsid w:val="0073042C"/>
    <w:rsid w:val="00731F40"/>
    <w:rsid w:val="00733EE1"/>
    <w:rsid w:val="007405D7"/>
    <w:rsid w:val="00740B5A"/>
    <w:rsid w:val="00752256"/>
    <w:rsid w:val="00753979"/>
    <w:rsid w:val="00757C21"/>
    <w:rsid w:val="00761698"/>
    <w:rsid w:val="00773A07"/>
    <w:rsid w:val="007743E6"/>
    <w:rsid w:val="00774492"/>
    <w:rsid w:val="00774CF0"/>
    <w:rsid w:val="007770C8"/>
    <w:rsid w:val="00783013"/>
    <w:rsid w:val="00783D3F"/>
    <w:rsid w:val="007850D7"/>
    <w:rsid w:val="007900EC"/>
    <w:rsid w:val="00791B14"/>
    <w:rsid w:val="00792056"/>
    <w:rsid w:val="007A0656"/>
    <w:rsid w:val="007A0DEC"/>
    <w:rsid w:val="007A1BFC"/>
    <w:rsid w:val="007A3454"/>
    <w:rsid w:val="007A5B64"/>
    <w:rsid w:val="007B0F62"/>
    <w:rsid w:val="007B1041"/>
    <w:rsid w:val="007B3485"/>
    <w:rsid w:val="007B4C62"/>
    <w:rsid w:val="007C1D28"/>
    <w:rsid w:val="007C3170"/>
    <w:rsid w:val="007C392F"/>
    <w:rsid w:val="007C4188"/>
    <w:rsid w:val="007D3332"/>
    <w:rsid w:val="007D6852"/>
    <w:rsid w:val="007E050E"/>
    <w:rsid w:val="007E51BB"/>
    <w:rsid w:val="007E5ED7"/>
    <w:rsid w:val="007F0A2E"/>
    <w:rsid w:val="007F230D"/>
    <w:rsid w:val="007F5572"/>
    <w:rsid w:val="00800A52"/>
    <w:rsid w:val="00800F24"/>
    <w:rsid w:val="0080598B"/>
    <w:rsid w:val="00811E99"/>
    <w:rsid w:val="008128C6"/>
    <w:rsid w:val="0082080F"/>
    <w:rsid w:val="00820EC5"/>
    <w:rsid w:val="008270F4"/>
    <w:rsid w:val="0083209F"/>
    <w:rsid w:val="008351F0"/>
    <w:rsid w:val="008400CF"/>
    <w:rsid w:val="00845A3C"/>
    <w:rsid w:val="00854E1C"/>
    <w:rsid w:val="008550BC"/>
    <w:rsid w:val="008552E0"/>
    <w:rsid w:val="00855DB4"/>
    <w:rsid w:val="00857C6E"/>
    <w:rsid w:val="008611BE"/>
    <w:rsid w:val="008638DD"/>
    <w:rsid w:val="00863DD0"/>
    <w:rsid w:val="00864C3E"/>
    <w:rsid w:val="008656A7"/>
    <w:rsid w:val="008672BB"/>
    <w:rsid w:val="00873683"/>
    <w:rsid w:val="0087547A"/>
    <w:rsid w:val="0087561E"/>
    <w:rsid w:val="00877FEB"/>
    <w:rsid w:val="0088017D"/>
    <w:rsid w:val="008832B0"/>
    <w:rsid w:val="0089180B"/>
    <w:rsid w:val="00892431"/>
    <w:rsid w:val="00894741"/>
    <w:rsid w:val="00896AB5"/>
    <w:rsid w:val="008A7FAF"/>
    <w:rsid w:val="008B2A08"/>
    <w:rsid w:val="008B3C8B"/>
    <w:rsid w:val="008B56E8"/>
    <w:rsid w:val="008C20FA"/>
    <w:rsid w:val="008C7FD4"/>
    <w:rsid w:val="008D3AC1"/>
    <w:rsid w:val="008D41BC"/>
    <w:rsid w:val="008D6F80"/>
    <w:rsid w:val="008E1633"/>
    <w:rsid w:val="008E38B8"/>
    <w:rsid w:val="008E56E1"/>
    <w:rsid w:val="008E6836"/>
    <w:rsid w:val="00904DDF"/>
    <w:rsid w:val="009107EF"/>
    <w:rsid w:val="009156AB"/>
    <w:rsid w:val="00916B13"/>
    <w:rsid w:val="00924792"/>
    <w:rsid w:val="009260A8"/>
    <w:rsid w:val="0092643D"/>
    <w:rsid w:val="00926505"/>
    <w:rsid w:val="00926D5E"/>
    <w:rsid w:val="00932A32"/>
    <w:rsid w:val="00933190"/>
    <w:rsid w:val="00936797"/>
    <w:rsid w:val="00944A78"/>
    <w:rsid w:val="009451F5"/>
    <w:rsid w:val="0095095F"/>
    <w:rsid w:val="00954387"/>
    <w:rsid w:val="00955035"/>
    <w:rsid w:val="009551C6"/>
    <w:rsid w:val="00955D45"/>
    <w:rsid w:val="00960D29"/>
    <w:rsid w:val="00962648"/>
    <w:rsid w:val="009752A8"/>
    <w:rsid w:val="009816EB"/>
    <w:rsid w:val="009818CE"/>
    <w:rsid w:val="00982A85"/>
    <w:rsid w:val="00984BF1"/>
    <w:rsid w:val="009931C8"/>
    <w:rsid w:val="009A0727"/>
    <w:rsid w:val="009A2990"/>
    <w:rsid w:val="009A54FB"/>
    <w:rsid w:val="009A6126"/>
    <w:rsid w:val="009B4E31"/>
    <w:rsid w:val="009C12B8"/>
    <w:rsid w:val="009C31AB"/>
    <w:rsid w:val="009C5066"/>
    <w:rsid w:val="009C5082"/>
    <w:rsid w:val="009D1077"/>
    <w:rsid w:val="009D36F8"/>
    <w:rsid w:val="009D3A45"/>
    <w:rsid w:val="009D5650"/>
    <w:rsid w:val="009D6691"/>
    <w:rsid w:val="009E755D"/>
    <w:rsid w:val="009F4917"/>
    <w:rsid w:val="009F5A3B"/>
    <w:rsid w:val="009F749D"/>
    <w:rsid w:val="00A10CEC"/>
    <w:rsid w:val="00A217A0"/>
    <w:rsid w:val="00A241D4"/>
    <w:rsid w:val="00A32A73"/>
    <w:rsid w:val="00A3347C"/>
    <w:rsid w:val="00A34F84"/>
    <w:rsid w:val="00A362D4"/>
    <w:rsid w:val="00A37BFE"/>
    <w:rsid w:val="00A40A3D"/>
    <w:rsid w:val="00A42E0D"/>
    <w:rsid w:val="00A5139C"/>
    <w:rsid w:val="00A56646"/>
    <w:rsid w:val="00A604E2"/>
    <w:rsid w:val="00A63591"/>
    <w:rsid w:val="00A63645"/>
    <w:rsid w:val="00A65F23"/>
    <w:rsid w:val="00A70CDC"/>
    <w:rsid w:val="00A72177"/>
    <w:rsid w:val="00A73699"/>
    <w:rsid w:val="00A834DB"/>
    <w:rsid w:val="00A877E8"/>
    <w:rsid w:val="00A929CB"/>
    <w:rsid w:val="00A93195"/>
    <w:rsid w:val="00A94DDD"/>
    <w:rsid w:val="00A95DB4"/>
    <w:rsid w:val="00A96F4D"/>
    <w:rsid w:val="00AA0470"/>
    <w:rsid w:val="00AA7480"/>
    <w:rsid w:val="00AB1A2E"/>
    <w:rsid w:val="00AB2A06"/>
    <w:rsid w:val="00AB34AC"/>
    <w:rsid w:val="00AB4BCF"/>
    <w:rsid w:val="00AC751C"/>
    <w:rsid w:val="00AD4DEA"/>
    <w:rsid w:val="00AD5CD1"/>
    <w:rsid w:val="00AE2062"/>
    <w:rsid w:val="00AE388B"/>
    <w:rsid w:val="00AE499B"/>
    <w:rsid w:val="00AE733D"/>
    <w:rsid w:val="00AF3DE4"/>
    <w:rsid w:val="00AF5A9E"/>
    <w:rsid w:val="00B008EB"/>
    <w:rsid w:val="00B00C84"/>
    <w:rsid w:val="00B03DD2"/>
    <w:rsid w:val="00B05791"/>
    <w:rsid w:val="00B05989"/>
    <w:rsid w:val="00B11B08"/>
    <w:rsid w:val="00B1575C"/>
    <w:rsid w:val="00B20325"/>
    <w:rsid w:val="00B22536"/>
    <w:rsid w:val="00B25E4C"/>
    <w:rsid w:val="00B27019"/>
    <w:rsid w:val="00B27316"/>
    <w:rsid w:val="00B31E1F"/>
    <w:rsid w:val="00B32742"/>
    <w:rsid w:val="00B360F6"/>
    <w:rsid w:val="00B36B71"/>
    <w:rsid w:val="00B428B2"/>
    <w:rsid w:val="00B4727E"/>
    <w:rsid w:val="00B47DF5"/>
    <w:rsid w:val="00B52380"/>
    <w:rsid w:val="00B533D0"/>
    <w:rsid w:val="00B539D5"/>
    <w:rsid w:val="00B55CD9"/>
    <w:rsid w:val="00B63D62"/>
    <w:rsid w:val="00B64E15"/>
    <w:rsid w:val="00B65330"/>
    <w:rsid w:val="00B659C2"/>
    <w:rsid w:val="00B75388"/>
    <w:rsid w:val="00B7599C"/>
    <w:rsid w:val="00B808B0"/>
    <w:rsid w:val="00B83C96"/>
    <w:rsid w:val="00B859EB"/>
    <w:rsid w:val="00B94F69"/>
    <w:rsid w:val="00BA072E"/>
    <w:rsid w:val="00BA078F"/>
    <w:rsid w:val="00BB10D2"/>
    <w:rsid w:val="00BB1CE0"/>
    <w:rsid w:val="00BB51D6"/>
    <w:rsid w:val="00BC23D2"/>
    <w:rsid w:val="00BC4A1E"/>
    <w:rsid w:val="00BD212C"/>
    <w:rsid w:val="00BD2E1A"/>
    <w:rsid w:val="00BF495F"/>
    <w:rsid w:val="00BF4B69"/>
    <w:rsid w:val="00BF6837"/>
    <w:rsid w:val="00C01125"/>
    <w:rsid w:val="00C06A91"/>
    <w:rsid w:val="00C075CD"/>
    <w:rsid w:val="00C07F56"/>
    <w:rsid w:val="00C100F5"/>
    <w:rsid w:val="00C125BB"/>
    <w:rsid w:val="00C12BCC"/>
    <w:rsid w:val="00C13308"/>
    <w:rsid w:val="00C23F5A"/>
    <w:rsid w:val="00C24E5D"/>
    <w:rsid w:val="00C30205"/>
    <w:rsid w:val="00C33DCE"/>
    <w:rsid w:val="00C3491B"/>
    <w:rsid w:val="00C34E45"/>
    <w:rsid w:val="00C378B8"/>
    <w:rsid w:val="00C43DBA"/>
    <w:rsid w:val="00C45208"/>
    <w:rsid w:val="00C46446"/>
    <w:rsid w:val="00C47969"/>
    <w:rsid w:val="00C546FA"/>
    <w:rsid w:val="00C5526D"/>
    <w:rsid w:val="00C557A4"/>
    <w:rsid w:val="00C60438"/>
    <w:rsid w:val="00C637AB"/>
    <w:rsid w:val="00C63E71"/>
    <w:rsid w:val="00C65F94"/>
    <w:rsid w:val="00C66840"/>
    <w:rsid w:val="00C70315"/>
    <w:rsid w:val="00C7253A"/>
    <w:rsid w:val="00C74C78"/>
    <w:rsid w:val="00C76E2D"/>
    <w:rsid w:val="00C834AF"/>
    <w:rsid w:val="00C85ACD"/>
    <w:rsid w:val="00C93514"/>
    <w:rsid w:val="00C9362F"/>
    <w:rsid w:val="00C97F90"/>
    <w:rsid w:val="00CA4562"/>
    <w:rsid w:val="00CA53EB"/>
    <w:rsid w:val="00CA5A9D"/>
    <w:rsid w:val="00CA7848"/>
    <w:rsid w:val="00CC0149"/>
    <w:rsid w:val="00CC08E6"/>
    <w:rsid w:val="00CC1E0C"/>
    <w:rsid w:val="00CC2858"/>
    <w:rsid w:val="00CC57CB"/>
    <w:rsid w:val="00CD18BF"/>
    <w:rsid w:val="00CD3F98"/>
    <w:rsid w:val="00CD566B"/>
    <w:rsid w:val="00CD6165"/>
    <w:rsid w:val="00CD7242"/>
    <w:rsid w:val="00CE0D63"/>
    <w:rsid w:val="00CE697C"/>
    <w:rsid w:val="00CE6A48"/>
    <w:rsid w:val="00CE7379"/>
    <w:rsid w:val="00CF0F67"/>
    <w:rsid w:val="00CF1CD0"/>
    <w:rsid w:val="00CF470A"/>
    <w:rsid w:val="00CF4C38"/>
    <w:rsid w:val="00CF4D26"/>
    <w:rsid w:val="00D008FE"/>
    <w:rsid w:val="00D06B06"/>
    <w:rsid w:val="00D1056E"/>
    <w:rsid w:val="00D112A0"/>
    <w:rsid w:val="00D1312D"/>
    <w:rsid w:val="00D156AD"/>
    <w:rsid w:val="00D20173"/>
    <w:rsid w:val="00D22563"/>
    <w:rsid w:val="00D2272E"/>
    <w:rsid w:val="00D30741"/>
    <w:rsid w:val="00D30757"/>
    <w:rsid w:val="00D31DAA"/>
    <w:rsid w:val="00D346A4"/>
    <w:rsid w:val="00D37F7C"/>
    <w:rsid w:val="00D423BC"/>
    <w:rsid w:val="00D454AF"/>
    <w:rsid w:val="00D45AC6"/>
    <w:rsid w:val="00D5264B"/>
    <w:rsid w:val="00D57709"/>
    <w:rsid w:val="00D603A8"/>
    <w:rsid w:val="00D620AF"/>
    <w:rsid w:val="00D7514D"/>
    <w:rsid w:val="00D756C3"/>
    <w:rsid w:val="00D8638C"/>
    <w:rsid w:val="00D866B4"/>
    <w:rsid w:val="00D90A95"/>
    <w:rsid w:val="00D936BB"/>
    <w:rsid w:val="00DA4B66"/>
    <w:rsid w:val="00DA6ACF"/>
    <w:rsid w:val="00DB0FD8"/>
    <w:rsid w:val="00DB11D0"/>
    <w:rsid w:val="00DB2D05"/>
    <w:rsid w:val="00DB35F7"/>
    <w:rsid w:val="00DC1ABF"/>
    <w:rsid w:val="00DD16C6"/>
    <w:rsid w:val="00DD1FDC"/>
    <w:rsid w:val="00DD39E2"/>
    <w:rsid w:val="00DD4163"/>
    <w:rsid w:val="00DD62A0"/>
    <w:rsid w:val="00DE12F9"/>
    <w:rsid w:val="00DE1DCE"/>
    <w:rsid w:val="00DE5972"/>
    <w:rsid w:val="00DE66BF"/>
    <w:rsid w:val="00DE66FC"/>
    <w:rsid w:val="00DE6EA3"/>
    <w:rsid w:val="00DE75EA"/>
    <w:rsid w:val="00DF2C6C"/>
    <w:rsid w:val="00DF7ADC"/>
    <w:rsid w:val="00E0185F"/>
    <w:rsid w:val="00E0479E"/>
    <w:rsid w:val="00E04C30"/>
    <w:rsid w:val="00E069DF"/>
    <w:rsid w:val="00E11FEA"/>
    <w:rsid w:val="00E2086A"/>
    <w:rsid w:val="00E2154D"/>
    <w:rsid w:val="00E23AFC"/>
    <w:rsid w:val="00E356A4"/>
    <w:rsid w:val="00E40DB7"/>
    <w:rsid w:val="00E438BD"/>
    <w:rsid w:val="00E44D47"/>
    <w:rsid w:val="00E4578E"/>
    <w:rsid w:val="00E46492"/>
    <w:rsid w:val="00E511D0"/>
    <w:rsid w:val="00E52CC1"/>
    <w:rsid w:val="00E542FC"/>
    <w:rsid w:val="00E549BE"/>
    <w:rsid w:val="00E5543B"/>
    <w:rsid w:val="00E61D9F"/>
    <w:rsid w:val="00E62483"/>
    <w:rsid w:val="00E6361A"/>
    <w:rsid w:val="00E715EA"/>
    <w:rsid w:val="00E715EF"/>
    <w:rsid w:val="00E72C90"/>
    <w:rsid w:val="00E732ED"/>
    <w:rsid w:val="00E75A8A"/>
    <w:rsid w:val="00E769EA"/>
    <w:rsid w:val="00E8224C"/>
    <w:rsid w:val="00E82E27"/>
    <w:rsid w:val="00E83E71"/>
    <w:rsid w:val="00E867AE"/>
    <w:rsid w:val="00EA7745"/>
    <w:rsid w:val="00EB0C82"/>
    <w:rsid w:val="00EB1577"/>
    <w:rsid w:val="00EB27F2"/>
    <w:rsid w:val="00EB332B"/>
    <w:rsid w:val="00EC2008"/>
    <w:rsid w:val="00EC49F7"/>
    <w:rsid w:val="00EC5325"/>
    <w:rsid w:val="00EC5644"/>
    <w:rsid w:val="00EC729C"/>
    <w:rsid w:val="00ED0994"/>
    <w:rsid w:val="00ED1C76"/>
    <w:rsid w:val="00ED31EA"/>
    <w:rsid w:val="00ED5A00"/>
    <w:rsid w:val="00EE0C61"/>
    <w:rsid w:val="00EE1F0C"/>
    <w:rsid w:val="00EE23B2"/>
    <w:rsid w:val="00EE2530"/>
    <w:rsid w:val="00EE35C5"/>
    <w:rsid w:val="00EE4203"/>
    <w:rsid w:val="00EE77FC"/>
    <w:rsid w:val="00EF24E9"/>
    <w:rsid w:val="00EF3D2A"/>
    <w:rsid w:val="00EF5EA9"/>
    <w:rsid w:val="00EF6BB2"/>
    <w:rsid w:val="00F04E0F"/>
    <w:rsid w:val="00F05AB4"/>
    <w:rsid w:val="00F062A4"/>
    <w:rsid w:val="00F06EA5"/>
    <w:rsid w:val="00F1407B"/>
    <w:rsid w:val="00F151EC"/>
    <w:rsid w:val="00F1575F"/>
    <w:rsid w:val="00F17939"/>
    <w:rsid w:val="00F2259C"/>
    <w:rsid w:val="00F24FF4"/>
    <w:rsid w:val="00F30A51"/>
    <w:rsid w:val="00F334CF"/>
    <w:rsid w:val="00F35448"/>
    <w:rsid w:val="00F41D79"/>
    <w:rsid w:val="00F41E71"/>
    <w:rsid w:val="00F465BB"/>
    <w:rsid w:val="00F52587"/>
    <w:rsid w:val="00F525B3"/>
    <w:rsid w:val="00F579ED"/>
    <w:rsid w:val="00F60E40"/>
    <w:rsid w:val="00F622F6"/>
    <w:rsid w:val="00F62404"/>
    <w:rsid w:val="00F64237"/>
    <w:rsid w:val="00F71455"/>
    <w:rsid w:val="00F71E5D"/>
    <w:rsid w:val="00F75DBF"/>
    <w:rsid w:val="00F84B52"/>
    <w:rsid w:val="00F86FBC"/>
    <w:rsid w:val="00F87105"/>
    <w:rsid w:val="00F9408D"/>
    <w:rsid w:val="00F95CA8"/>
    <w:rsid w:val="00FA051F"/>
    <w:rsid w:val="00FA1F61"/>
    <w:rsid w:val="00FA21F7"/>
    <w:rsid w:val="00FA2CFA"/>
    <w:rsid w:val="00FA4019"/>
    <w:rsid w:val="00FA48C7"/>
    <w:rsid w:val="00FA7781"/>
    <w:rsid w:val="00FA7E00"/>
    <w:rsid w:val="00FB12D3"/>
    <w:rsid w:val="00FB1F44"/>
    <w:rsid w:val="00FB2C03"/>
    <w:rsid w:val="00FB6DA8"/>
    <w:rsid w:val="00FB7235"/>
    <w:rsid w:val="00FC0331"/>
    <w:rsid w:val="00FC12B4"/>
    <w:rsid w:val="00FD2C9D"/>
    <w:rsid w:val="00FD616B"/>
    <w:rsid w:val="00FD712B"/>
    <w:rsid w:val="00FE320C"/>
    <w:rsid w:val="00FE3344"/>
    <w:rsid w:val="00FE473D"/>
    <w:rsid w:val="00FF01D2"/>
    <w:rsid w:val="00FF0BED"/>
    <w:rsid w:val="00FF1739"/>
    <w:rsid w:val="00FF3BFF"/>
    <w:rsid w:val="00FF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5CD1"/>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11"/>
      </w:numPr>
      <w:contextualSpacing/>
    </w:pPr>
  </w:style>
  <w:style w:type="paragraph" w:styleId="ListBullet">
    <w:name w:val="List Bullet"/>
    <w:basedOn w:val="Normal"/>
    <w:uiPriority w:val="99"/>
    <w:unhideWhenUsed/>
    <w:rsid w:val="00EC5325"/>
    <w:pPr>
      <w:numPr>
        <w:numId w:val="1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8"/>
      </w:numPr>
      <w:contextualSpacing/>
    </w:pPr>
  </w:style>
  <w:style w:type="paragraph" w:styleId="ListBullet4">
    <w:name w:val="List Bullet 4"/>
    <w:basedOn w:val="Normal"/>
    <w:uiPriority w:val="99"/>
    <w:unhideWhenUsed/>
    <w:rsid w:val="004441FD"/>
    <w:pPr>
      <w:numPr>
        <w:numId w:val="7"/>
      </w:numPr>
      <w:contextualSpacing/>
    </w:pPr>
  </w:style>
  <w:style w:type="paragraph" w:styleId="ListBullet5">
    <w:name w:val="List Bullet 5"/>
    <w:basedOn w:val="Normal"/>
    <w:uiPriority w:val="99"/>
    <w:unhideWhenUsed/>
    <w:rsid w:val="004441FD"/>
    <w:pPr>
      <w:numPr>
        <w:numId w:val="6"/>
      </w:numPr>
      <w:contextualSpacing/>
    </w:pPr>
  </w:style>
  <w:style w:type="paragraph" w:styleId="ListNumber2">
    <w:name w:val="List Number 2"/>
    <w:basedOn w:val="Normal"/>
    <w:uiPriority w:val="99"/>
    <w:unhideWhenUsed/>
    <w:rsid w:val="00864C3E"/>
    <w:pPr>
      <w:numPr>
        <w:numId w:val="4"/>
      </w:numPr>
      <w:contextualSpacing/>
    </w:pPr>
  </w:style>
  <w:style w:type="paragraph" w:styleId="ListNumber3">
    <w:name w:val="List Number 3"/>
    <w:basedOn w:val="Normal"/>
    <w:uiPriority w:val="99"/>
    <w:unhideWhenUsed/>
    <w:rsid w:val="00864C3E"/>
    <w:pPr>
      <w:numPr>
        <w:numId w:val="3"/>
      </w:numPr>
      <w:contextualSpacing/>
    </w:pPr>
  </w:style>
  <w:style w:type="paragraph" w:styleId="ListNumber4">
    <w:name w:val="List Number 4"/>
    <w:basedOn w:val="Normal"/>
    <w:uiPriority w:val="99"/>
    <w:unhideWhenUsed/>
    <w:rsid w:val="00864C3E"/>
    <w:pPr>
      <w:numPr>
        <w:numId w:val="2"/>
      </w:numPr>
      <w:contextualSpacing/>
    </w:pPr>
  </w:style>
  <w:style w:type="paragraph" w:styleId="ListNumber5">
    <w:name w:val="List Number 5"/>
    <w:basedOn w:val="Normal"/>
    <w:uiPriority w:val="99"/>
    <w:unhideWhenUsed/>
    <w:rsid w:val="00864C3E"/>
    <w:pPr>
      <w:numPr>
        <w:numId w:val="1"/>
      </w:numPr>
      <w:contextualSpacing/>
    </w:pPr>
  </w:style>
  <w:style w:type="paragraph" w:styleId="List">
    <w:name w:val="List"/>
    <w:basedOn w:val="Normal"/>
    <w:uiPriority w:val="99"/>
    <w:unhideWhenUsed/>
    <w:qFormat/>
    <w:rsid w:val="00EC5325"/>
    <w:pPr>
      <w:numPr>
        <w:numId w:val="13"/>
      </w:numPr>
      <w:contextualSpacing/>
    </w:pPr>
  </w:style>
  <w:style w:type="paragraph" w:styleId="ListNumber">
    <w:name w:val="List Number"/>
    <w:basedOn w:val="Normal"/>
    <w:uiPriority w:val="99"/>
    <w:unhideWhenUsed/>
    <w:rsid w:val="00EC5325"/>
    <w:pPr>
      <w:numPr>
        <w:numId w:val="5"/>
      </w:numPr>
      <w:contextualSpacing/>
    </w:pPr>
  </w:style>
  <w:style w:type="paragraph" w:styleId="List3">
    <w:name w:val="List 3"/>
    <w:basedOn w:val="Normal"/>
    <w:uiPriority w:val="99"/>
    <w:unhideWhenUsed/>
    <w:rsid w:val="00D37F7C"/>
    <w:pPr>
      <w:numPr>
        <w:numId w:val="12"/>
      </w:numPr>
      <w:contextualSpacing/>
    </w:pPr>
  </w:style>
  <w:style w:type="paragraph" w:styleId="List4">
    <w:name w:val="List 4"/>
    <w:basedOn w:val="Normal"/>
    <w:uiPriority w:val="99"/>
    <w:unhideWhenUsed/>
    <w:rsid w:val="00D37F7C"/>
    <w:pPr>
      <w:numPr>
        <w:numId w:val="14"/>
      </w:numPr>
      <w:contextualSpacing/>
    </w:pPr>
  </w:style>
  <w:style w:type="paragraph" w:styleId="List5">
    <w:name w:val="List 5"/>
    <w:basedOn w:val="Normal"/>
    <w:uiPriority w:val="99"/>
    <w:unhideWhenUsed/>
    <w:rsid w:val="00D37F7C"/>
    <w:pPr>
      <w:numPr>
        <w:numId w:val="15"/>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F9408D"/>
    <w:pPr>
      <w:spacing w:after="100"/>
    </w:pPr>
    <w:rPr>
      <w:rFonts w:ascii="Ubuntu" w:eastAsiaTheme="majorEastAsia" w:hAnsi="Ubuntu"/>
      <w:color w:val="0090D4"/>
      <w:sz w:val="40"/>
      <w:szCs w:val="40"/>
    </w:r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E542FC"/>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16"/>
      </w:numPr>
    </w:pPr>
  </w:style>
  <w:style w:type="numbering" w:customStyle="1" w:styleId="CurrentList2">
    <w:name w:val="Current List2"/>
    <w:uiPriority w:val="99"/>
    <w:rsid w:val="00D37F7C"/>
    <w:pPr>
      <w:numPr>
        <w:numId w:val="17"/>
      </w:numPr>
    </w:pPr>
  </w:style>
  <w:style w:type="numbering" w:customStyle="1" w:styleId="CurrentList3">
    <w:name w:val="Current List3"/>
    <w:uiPriority w:val="99"/>
    <w:rsid w:val="00D37F7C"/>
    <w:pPr>
      <w:numPr>
        <w:numId w:val="18"/>
      </w:numPr>
    </w:pPr>
  </w:style>
  <w:style w:type="numbering" w:customStyle="1" w:styleId="CurrentList4">
    <w:name w:val="Current List4"/>
    <w:uiPriority w:val="99"/>
    <w:rsid w:val="00D37F7C"/>
    <w:pPr>
      <w:numPr>
        <w:numId w:val="19"/>
      </w:numPr>
    </w:pPr>
  </w:style>
  <w:style w:type="numbering" w:customStyle="1" w:styleId="CurrentList5">
    <w:name w:val="Current List5"/>
    <w:uiPriority w:val="99"/>
    <w:rsid w:val="00D37F7C"/>
    <w:pPr>
      <w:numPr>
        <w:numId w:val="20"/>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FootnoteText">
    <w:name w:val="footnote text"/>
    <w:basedOn w:val="Normal"/>
    <w:link w:val="FootnoteTextChar"/>
    <w:uiPriority w:val="99"/>
    <w:semiHidden/>
    <w:unhideWhenUsed/>
    <w:rsid w:val="007B1041"/>
    <w:pPr>
      <w:spacing w:after="0"/>
    </w:pPr>
  </w:style>
  <w:style w:type="character" w:customStyle="1" w:styleId="FootnoteTextChar">
    <w:name w:val="Footnote Text Char"/>
    <w:basedOn w:val="DefaultParagraphFont"/>
    <w:link w:val="FootnoteText"/>
    <w:uiPriority w:val="99"/>
    <w:semiHidden/>
    <w:rsid w:val="007B1041"/>
    <w:rPr>
      <w:rFonts w:ascii="Arial" w:eastAsia="Times New Roman" w:hAnsi="Arial" w:cs="Arial"/>
      <w:color w:val="5F5F5F"/>
      <w:sz w:val="20"/>
      <w:szCs w:val="20"/>
      <w:lang w:eastAsia="en-GB"/>
    </w:rPr>
  </w:style>
  <w:style w:type="character" w:styleId="FootnoteReference">
    <w:name w:val="footnote reference"/>
    <w:semiHidden/>
    <w:rsid w:val="007B1041"/>
    <w:rPr>
      <w:rFonts w:cs="Times New Roman"/>
      <w:vertAlign w:val="superscript"/>
    </w:rPr>
  </w:style>
  <w:style w:type="paragraph" w:customStyle="1" w:styleId="Bulletlevel1">
    <w:name w:val="Bullet level 1"/>
    <w:basedOn w:val="Normal"/>
    <w:qFormat/>
    <w:rsid w:val="00D30741"/>
    <w:pPr>
      <w:numPr>
        <w:numId w:val="29"/>
      </w:numPr>
      <w:suppressAutoHyphens/>
      <w:autoSpaceDE w:val="0"/>
      <w:autoSpaceDN w:val="0"/>
      <w:adjustRightInd w:val="0"/>
      <w:spacing w:after="120" w:line="264" w:lineRule="auto"/>
      <w:contextualSpacing/>
      <w:jc w:val="both"/>
      <w:textAlignment w:val="center"/>
    </w:pPr>
    <w:rPr>
      <w:rFonts w:asciiTheme="minorHAnsi" w:eastAsiaTheme="minorHAnsi" w:hAnsiTheme="minorHAnsi" w:cs="Calibri"/>
      <w:color w:val="95C11F" w:themeColor="text2"/>
      <w:sz w:val="22"/>
      <w:szCs w:val="18"/>
      <w:lang w:eastAsia="en-US"/>
    </w:rPr>
  </w:style>
  <w:style w:type="paragraph" w:customStyle="1" w:styleId="BodyEE">
    <w:name w:val="Body EE"/>
    <w:basedOn w:val="Normal"/>
    <w:link w:val="BodyEEChar"/>
    <w:qFormat/>
    <w:rsid w:val="00422D92"/>
    <w:pPr>
      <w:spacing w:after="120" w:line="264" w:lineRule="auto"/>
      <w:jc w:val="both"/>
    </w:pPr>
    <w:rPr>
      <w:rFonts w:ascii="Gill Sans MT" w:eastAsia="Gill Sans MT" w:hAnsi="Gill Sans MT" w:cs="Times New Roman"/>
      <w:color w:val="38383A"/>
      <w:sz w:val="22"/>
      <w:szCs w:val="60"/>
      <w:lang w:eastAsia="en-US"/>
    </w:rPr>
  </w:style>
  <w:style w:type="character" w:customStyle="1" w:styleId="BodyEEChar">
    <w:name w:val="Body EE Char"/>
    <w:basedOn w:val="DefaultParagraphFont"/>
    <w:link w:val="BodyEE"/>
    <w:rsid w:val="00422D92"/>
    <w:rPr>
      <w:rFonts w:ascii="Gill Sans MT" w:eastAsia="Gill Sans MT" w:hAnsi="Gill Sans MT" w:cs="Times New Roman"/>
      <w:color w:val="38383A"/>
      <w:szCs w:val="60"/>
    </w:rPr>
  </w:style>
  <w:style w:type="table" w:styleId="ListTable2-Accent1">
    <w:name w:val="List Table 2 Accent 1"/>
    <w:basedOn w:val="TableNormal"/>
    <w:uiPriority w:val="47"/>
    <w:rsid w:val="00F05AB4"/>
    <w:pPr>
      <w:spacing w:after="0" w:line="240" w:lineRule="auto"/>
    </w:pPr>
    <w:tblPr>
      <w:tblStyleRowBandSize w:val="1"/>
      <w:tblStyleColBandSize w:val="1"/>
      <w:tblBorders>
        <w:top w:val="single" w:sz="4" w:space="0" w:color="46BCFF" w:themeColor="accent1" w:themeTint="99"/>
        <w:bottom w:val="single" w:sz="4" w:space="0" w:color="46BCFF" w:themeColor="accent1" w:themeTint="99"/>
        <w:insideH w:val="single" w:sz="4" w:space="0" w:color="46B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styleId="ListTable6Colorful-Accent1">
    <w:name w:val="List Table 6 Colorful Accent 1"/>
    <w:basedOn w:val="TableNormal"/>
    <w:uiPriority w:val="51"/>
    <w:rsid w:val="0080598B"/>
    <w:pPr>
      <w:spacing w:after="0" w:line="240" w:lineRule="auto"/>
    </w:pPr>
    <w:rPr>
      <w:color w:val="006197" w:themeColor="accent1" w:themeShade="BF"/>
    </w:rPr>
    <w:tblPr>
      <w:tblStyleRowBandSize w:val="1"/>
      <w:tblStyleColBandSize w:val="1"/>
      <w:tblBorders>
        <w:top w:val="single" w:sz="4" w:space="0" w:color="0082CA" w:themeColor="accent1"/>
        <w:bottom w:val="single" w:sz="4" w:space="0" w:color="0082CA" w:themeColor="accent1"/>
      </w:tblBorders>
    </w:tblPr>
    <w:tblStylePr w:type="firstRow">
      <w:rPr>
        <w:b/>
        <w:bCs/>
      </w:rPr>
      <w:tblPr/>
      <w:tcPr>
        <w:tcBorders>
          <w:bottom w:val="single" w:sz="4" w:space="0" w:color="0082CA" w:themeColor="accent1"/>
        </w:tcBorders>
      </w:tcPr>
    </w:tblStylePr>
    <w:tblStylePr w:type="lastRow">
      <w:rPr>
        <w:b/>
        <w:bCs/>
      </w:rPr>
      <w:tblPr/>
      <w:tcPr>
        <w:tcBorders>
          <w:top w:val="double" w:sz="4" w:space="0" w:color="0082CA" w:themeColor="accent1"/>
        </w:tcBorders>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paragraph" w:customStyle="1" w:styleId="paragraph">
    <w:name w:val="paragraph"/>
    <w:basedOn w:val="Normal"/>
    <w:rsid w:val="001B7850"/>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1B7850"/>
  </w:style>
  <w:style w:type="character" w:customStyle="1" w:styleId="eop">
    <w:name w:val="eop"/>
    <w:basedOn w:val="DefaultParagraphFont"/>
    <w:rsid w:val="001B7850"/>
  </w:style>
  <w:style w:type="character" w:customStyle="1" w:styleId="tabchar">
    <w:name w:val="tabchar"/>
    <w:basedOn w:val="DefaultParagraphFont"/>
    <w:rsid w:val="001B7850"/>
  </w:style>
  <w:style w:type="paragraph" w:styleId="Revision">
    <w:name w:val="Revision"/>
    <w:hidden/>
    <w:uiPriority w:val="99"/>
    <w:semiHidden/>
    <w:rsid w:val="00761698"/>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urcaw-pigs.eu/dossier/pigstun" TargetMode="External"/><Relationship Id="rId2" Type="http://schemas.openxmlformats.org/officeDocument/2006/relationships/hyperlink" Target="https://efsa.onlinelibrary.wiley.com/doi/full/10.2903/j.efsa.2020.6148" TargetMode="External"/><Relationship Id="rId1" Type="http://schemas.openxmlformats.org/officeDocument/2006/relationships/hyperlink" Target="https://www.gov.uk/government/statistics/agriculture-in-the-united-kingdom-2024/chapter-8-livestock" TargetMode="External"/><Relationship Id="rId6" Type="http://schemas.openxmlformats.org/officeDocument/2006/relationships/hyperlink" Target="https://occupational-maps.skillsengland.education.gov.uk/maps/occupation/OCC0418" TargetMode="External"/><Relationship Id="rId5" Type="http://schemas.openxmlformats.org/officeDocument/2006/relationships/hyperlink" Target="https://eurcaw-pigs.eu/search/result/d4:-analyses-and-recommendations-regarding-four-systems-in-the-pigstun-project-that-provide-alternatives-to-high-co2-stunning:-deliverable-4-pigstun?id=1471551" TargetMode="External"/><Relationship Id="rId4" Type="http://schemas.openxmlformats.org/officeDocument/2006/relationships/hyperlink" Target="https://www.gov.uk/government/publications/opinion-on-carbon-dioxide-gas-stunning-of-pigs-and-alternative-methods/opinion-on-the-welfare-impacts-on-pigs-of-high-concentration-co2-gas-stunning-and-of-potential-alternative-stunning-metho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208703-9408-4d39-82ed-8f03553bfa64">
      <Terms xmlns="http://schemas.microsoft.com/office/infopath/2007/PartnerControls"/>
    </lcf76f155ced4ddcb4097134ff3c332f>
    <ahdbBrandTaxHTField xmlns="http://schemas.microsoft.com/sharepoint/v3">
      <Terms xmlns="http://schemas.microsoft.com/office/infopath/2007/PartnerControls"/>
    </ahdbBrandTaxHTField>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l7d229c34431435e9d943c1844e0566e xmlns="58e06dfd-3cf8-4dca-8d43-d968f48878b3">
      <Terms xmlns="http://schemas.microsoft.com/office/infopath/2007/PartnerControls"/>
    </l7d229c34431435e9d943c1844e0566e>
    <ahdbCalContentSubType xmlns="http://schemas.microsoft.com/sharepoint/v3" xsi:nil="true"/>
    <ahdbCalContentType xmlns="http://schemas.microsoft.com/sharepoint/v3" xsi:nil="true"/>
    <ahdbOwner xmlns="58e06dfd-3cf8-4dca-8d43-d968f48878b3">
      <UserInfo>
        <DisplayName/>
        <AccountId xsi:nil="true"/>
        <AccountType/>
      </UserInfo>
    </ahdbOwner>
    <ahdbCalActivity xmlns="http://schemas.microsoft.com/sharepoint/v3" xsi:nil="true"/>
    <TaxCatchAll xmlns="58e06dfd-3cf8-4dca-8d43-d968f48878b3" xsi:nil="true"/>
    <ahdbContentTypeTaxHTField xmlns="http://schemas.microsoft.com/sharepoint/v3">
      <Terms xmlns="http://schemas.microsoft.com/office/infopath/2007/PartnerControls"/>
    </ahdbContentType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58D731EC6E14A93C1A511FD77CFF4" ma:contentTypeVersion="33" ma:contentTypeDescription="Create a new document." ma:contentTypeScope="" ma:versionID="bfa0a3e1b063a64ed60c4a412be88cc1">
  <xsd:schema xmlns:xsd="http://www.w3.org/2001/XMLSchema" xmlns:xs="http://www.w3.org/2001/XMLSchema" xmlns:p="http://schemas.microsoft.com/office/2006/metadata/properties" xmlns:ns1="http://schemas.microsoft.com/sharepoint/v3" xmlns:ns2="58e06dfd-3cf8-4dca-8d43-d968f48878b3" xmlns:ns3="97208703-9408-4d39-82ed-8f03553bfa64" targetNamespace="http://schemas.microsoft.com/office/2006/metadata/properties" ma:root="true" ma:fieldsID="1f1df10a5b4bfd330682b947d9aa480b" ns1:_="" ns2:_="" ns3:_="">
    <xsd:import namespace="http://schemas.microsoft.com/sharepoint/v3"/>
    <xsd:import namespace="58e06dfd-3cf8-4dca-8d43-d968f48878b3"/>
    <xsd:import namespace="97208703-9408-4d39-82ed-8f03553bfa64"/>
    <xsd:element name="properties">
      <xsd:complexType>
        <xsd:sequence>
          <xsd:element name="documentManagement">
            <xsd:complexType>
              <xsd:all>
                <xsd:element ref="ns2:l7d229c34431435e9d943c1844e0566e" minOccurs="0"/>
                <xsd:element ref="ns2:TaxCatchAll" minOccurs="0"/>
                <xsd:element ref="ns1:ahdbContentTypeTaxHTField" minOccurs="0"/>
                <xsd:element ref="ns1:ahdbTopicTaxHTField" minOccurs="0"/>
                <xsd:element ref="ns1:ahdbFunctionTaxHTField" minOccurs="0"/>
                <xsd:element ref="ns1:ahdbBrandTaxHTField" minOccurs="0"/>
                <xsd:element ref="ns2:ahdbOwner" minOccurs="0"/>
                <xsd:element ref="ns1:ahdbCalContentType" minOccurs="0"/>
                <xsd:element ref="ns1:ahdbCalContentSubType" minOccurs="0"/>
                <xsd:element ref="ns1:ahdbCalFunction" minOccurs="0"/>
                <xsd:element ref="ns1:ahdbCalActivity"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ontentTypeTaxHTField" ma:index="12"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14"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16"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18"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20" nillable="true" ma:displayName="ahdbCalContentType" ma:internalName="ahdbCalContentType">
      <xsd:simpleType>
        <xsd:restriction base="dms:Text"/>
      </xsd:simpleType>
    </xsd:element>
    <xsd:element name="ahdbCalContentSubType" ma:index="21" nillable="true" ma:displayName="ahdbCalContentSubType" ma:internalName="ahdbCalContentSubType">
      <xsd:simpleType>
        <xsd:restriction base="dms:Text"/>
      </xsd:simpleType>
    </xsd:element>
    <xsd:element name="ahdbCalFunction" ma:index="22" nillable="true" ma:displayName="ahdbCalFunction" ma:internalName="ahdbCalFunction">
      <xsd:simpleType>
        <xsd:restriction base="dms:Text"/>
      </xsd:simpleType>
    </xsd:element>
    <xsd:element name="ahdbCalActivity" ma:index="23" nillable="true" ma:displayName="ahdbCalActivity" ma:internalName="ahdbCalActivity">
      <xsd:simpleType>
        <xsd:restriction base="dms:Text"/>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06dfd-3cf8-4dca-8d43-d968f48878b3" elementFormDefault="qualified">
    <xsd:import namespace="http://schemas.microsoft.com/office/2006/documentManagement/types"/>
    <xsd:import namespace="http://schemas.microsoft.com/office/infopath/2007/PartnerControls"/>
    <xsd:element name="l7d229c34431435e9d943c1844e0566e" ma:index="9"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7a1d5e-9126-4377-8b76-ddee89fa9d4d}" ma:internalName="TaxCatchAll" ma:showField="CatchAllData" ma:web="58e06dfd-3cf8-4dca-8d43-d968f48878b3">
      <xsd:complexType>
        <xsd:complexContent>
          <xsd:extension base="dms:MultiChoiceLookup">
            <xsd:sequence>
              <xsd:element name="Value" type="dms:Lookup" maxOccurs="unbounded" minOccurs="0" nillable="true"/>
            </xsd:sequence>
          </xsd:extension>
        </xsd:complexContent>
      </xsd:complexType>
    </xsd:element>
    <xsd:element name="ahdbOwner" ma:index="19"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08703-9408-4d39-82ed-8f03553bfa6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 ds:uri="http://schemas.microsoft.com/sharepoint/v3"/>
    <ds:schemaRef ds:uri="97208703-9408-4d39-82ed-8f03553bfa64"/>
    <ds:schemaRef ds:uri="58e06dfd-3cf8-4dca-8d43-d968f48878b3"/>
  </ds:schemaRefs>
</ds:datastoreItem>
</file>

<file path=customXml/itemProps2.xml><?xml version="1.0" encoding="utf-8"?>
<ds:datastoreItem xmlns:ds="http://schemas.openxmlformats.org/officeDocument/2006/customXml" ds:itemID="{89C08941-5FC1-4A62-ADEF-999A9A53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06dfd-3cf8-4dca-8d43-d968f48878b3"/>
    <ds:schemaRef ds:uri="97208703-9408-4d39-82ed-8f03553bf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D0287-A197-4DFF-B54B-D0FBD6193FA7}">
  <ds:schemaRefs>
    <ds:schemaRef ds:uri="http://schemas.openxmlformats.org/officeDocument/2006/bibliography"/>
  </ds:schemaRefs>
</ds:datastoreItem>
</file>

<file path=customXml/itemProps4.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12382</Words>
  <Characters>72191</Characters>
  <Application>Microsoft Office Word</Application>
  <DocSecurity>8</DocSecurity>
  <Lines>1203</Lines>
  <Paragraphs>587</Paragraphs>
  <ScaleCrop>false</ScaleCrop>
  <HeadingPairs>
    <vt:vector size="2" baseType="variant">
      <vt:variant>
        <vt:lpstr>Title</vt:lpstr>
      </vt:variant>
      <vt:variant>
        <vt:i4>1</vt:i4>
      </vt:variant>
    </vt:vector>
  </HeadingPairs>
  <TitlesOfParts>
    <vt:vector size="1" baseType="lpstr">
      <vt:lpstr>Economic analysis of the conversion from CO2 to an alternative system as a primary method of killing pigs within a commercial UK-based pig processing facility</vt:lpstr>
    </vt:vector>
  </TitlesOfParts>
  <Company>AHDB</Company>
  <LinksUpToDate>false</LinksUpToDate>
  <CharactersWithSpaces>83986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of the conversion from CO2 to an alternative system as a primary method of killing pigs within a commercial UK-based pig processing facility</dc:title>
  <dc:subject/>
  <dc:creator>Louise Alford</dc:creator>
  <cp:keywords/>
  <dc:description/>
  <cp:lastModifiedBy>Miriam Drewett</cp:lastModifiedBy>
  <cp:revision>3</cp:revision>
  <cp:lastPrinted>2023-07-12T13:55:00Z</cp:lastPrinted>
  <dcterms:created xsi:type="dcterms:W3CDTF">2026-03-16T11:40:00Z</dcterms:created>
  <dcterms:modified xsi:type="dcterms:W3CDTF">2026-03-16T11:40:00Z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0x010100E5458D731EC6E14A93C1A511FD77CFF4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